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26.10.2026  |  385 Studien  |  pflege.m-vf.de</w:t>
      </w:r>
    </w:p>
    <w:p>
      <w:pPr>
        <w:pStyle w:val="Heading1"/>
      </w:pPr>
      <w:r>
        <w:t>Aufgenommen am 26.10.2026</w:t>
      </w:r>
    </w:p>
    <w:p>
      <w:pPr>
        <w:pStyle w:val="Heading2"/>
      </w:pPr>
      <w:r>
        <w:t>Pflegeleistung im Krankenhaus: Dimensionen und Wirkungen von Pflegekompetenz</w:t>
      </w:r>
    </w:p>
    <w:p>
      <w:r>
        <w:rPr>
          <w:i/>
          <w:color w:val="666666"/>
          <w:sz w:val="18"/>
        </w:rPr>
        <w:t>Chen P et al.  ·  J Nurs Manag  ·  2026  ·  PMID 42922197</w:t>
      </w:r>
    </w:p>
    <w:p>
      <w:r>
        <w:t>Hybride Konzeptanalyse mit systematischer Literaturrecherche (43 Studien) und qualitativen Interviews (27 Patienten, 10 Pflegekräfte, 3 Manager) zur Definition und Messung von klinischem Pflegeleistungswert.</w:t>
      </w:r>
    </w:p>
    <w:p>
      <w:r>
        <w:rPr>
          <w:b/>
        </w:rPr>
        <w:t xml:space="preserve">Ergebnis: </w:t>
      </w:r>
      <w:r>
        <w:t>Pflegeleistung wird als Komposit aus fünf Dimensionen definiert: technisch, ökonomisch, humanistisch, informativ und sozial. Antezedenzien liegen in System/Organisation, Pflegeteam, Patienten/Familien und Technologie. Konsequenzen beeinflussen Patienten, Pflegeteam, Pflegeprofession, Klinik und Gesundheitssystem. Das Modell bildet Grundlage für Leistungsbewertung und Ressourcenallokation.</w:t>
      </w:r>
    </w:p>
    <w:p>
      <w:r>
        <w:rPr>
          <w:b/>
          <w:sz w:val="19"/>
        </w:rPr>
        <w:t xml:space="preserve">Übertragbarkeit: </w:t>
      </w:r>
      <w:r>
        <w:rPr>
          <w:sz w:val="19"/>
        </w:rPr>
        <w:t>China, konzeptionelle Rahmenarbeit; Dimensionen von Pflegeleistung international anwendbar</w:t>
      </w:r>
    </w:p>
    <w:p>
      <w:r>
        <w:rPr>
          <w:color w:val="5A7D3A"/>
          <w:sz w:val="18"/>
        </w:rPr>
        <w:t>https://pubmed.ncbi.nlm.nih.gov/42922197/</w:t>
      </w:r>
    </w:p>
    <w:p>
      <w:pPr>
        <w:pStyle w:val="Heading2"/>
      </w:pPr>
      <w:r>
        <w:t>Telemedizinische Pflegefachkraft-Betreuung bei Herzinsuffizienz: Selbstpflege und Wiederaufnahmen</w:t>
      </w:r>
    </w:p>
    <w:p>
      <w:r>
        <w:rPr>
          <w:i/>
          <w:color w:val="666666"/>
          <w:sz w:val="18"/>
        </w:rPr>
        <w:t>Zhu P et al.  ·  Nurs Health Sci  ·  Dez. 2026  ·  PMID 42922152</w:t>
      </w:r>
    </w:p>
    <w:p>
      <w:r>
        <w:t>Retrospektive Kohortenstudie (58 Telemedizin vs. 54 Routine-Nachsorge) zu risikostratifizierter WeChat-basierter Telemedizin bei 112 Patienten mit chronischer Herzinsuffizienz 2023–2024.</w:t>
      </w:r>
    </w:p>
    <w:p>
      <w:r>
        <w:rPr>
          <w:b/>
        </w:rPr>
        <w:t xml:space="preserve">Ergebnis: </w:t>
      </w:r>
      <w:r>
        <w:t>6-Monats-Wiederaufnahmequote ungematchter Kohorte: 13,8 % (Telemedizin) vs. 31,5 % (Routine, p = 0,02); nach 1:1 Propensity-Score-Matching (46 Paare): 15,2 % vs. 32,6 % (p = 0,04). Unadjustiertes Hazard Ratio 0,43 (95%-KI 0,18–0,99). Alle drei SCHFI-v7.2-C-Subskalen verbesserten sich mit Telemedizin (p &lt; 0,001). Effekt auf Wiederaufnahmen statistisch grenzwertig, aber Selbstpflege-Verbesserungen konsistent.</w:t>
      </w:r>
    </w:p>
    <w:p>
      <w:r>
        <w:rPr>
          <w:b/>
          <w:sz w:val="19"/>
        </w:rPr>
        <w:t xml:space="preserve">Übertragbarkeit: </w:t>
      </w:r>
      <w:r>
        <w:rPr>
          <w:sz w:val="19"/>
        </w:rPr>
        <w:t>China, aber Telemedizin-Konzept und Selbstpflege-Messung international übertragbar; Prospektive Bestätigung erforderlich</w:t>
      </w:r>
    </w:p>
    <w:p>
      <w:r>
        <w:rPr>
          <w:color w:val="5A7D3A"/>
          <w:sz w:val="18"/>
        </w:rPr>
        <w:t>https://pubmed.ncbi.nlm.nih.gov/42922152/</w:t>
      </w:r>
    </w:p>
    <w:p>
      <w:pPr>
        <w:pStyle w:val="Heading2"/>
      </w:pPr>
      <w:r>
        <w:t>Belastungsfaktoren und Gesundheit von Pflegehelferinnen im Heim: Was Arbeitsbedingungen bewirken</w:t>
      </w:r>
    </w:p>
    <w:p>
      <w:r>
        <w:rPr>
          <w:i/>
          <w:color w:val="666666"/>
          <w:sz w:val="18"/>
        </w:rPr>
        <w:t>Catalano A et al.  ·  J Nurs Manag  ·  2026  ·  PMID 42922003</w:t>
      </w:r>
    </w:p>
    <w:p>
      <w:r>
        <w:t>Querschnittstudie zu Burnout, psychischen Belastungen und Muskel-Skelett-Beschwerden bei 202 Pflegehelferinnen in italienischen Pflegeheimen.</w:t>
      </w:r>
    </w:p>
    <w:p>
      <w:r>
        <w:rPr>
          <w:b/>
        </w:rPr>
        <w:t xml:space="preserve">Ergebnis: </w:t>
      </w:r>
      <w:r>
        <w:t>86 % berichteten Muskel-Skelett-Schmerzen an mindestens zwei Körperstellen. Job-Unsicherheit war signifikant mit erhöhtem Depressionrisiko, Emotionaler Erschöpfung und Depersonalisierung assoziiert (p &lt; 0,05). Arbeit in Heimen mit hohem Betreuungsbedarf war mit erhöhter Depression und Angststörung verknüpft. Die Befunde zeigen enge Zusammenhänge zwischen physischer Belastung, organisatorischen Faktoren und psychischer Gesundheit.</w:t>
      </w:r>
    </w:p>
    <w:p>
      <w:r>
        <w:rPr>
          <w:b/>
          <w:sz w:val="19"/>
        </w:rPr>
        <w:t xml:space="preserve">Übertragbarkeit: </w:t>
      </w:r>
      <w:r>
        <w:rPr>
          <w:sz w:val="19"/>
        </w:rPr>
        <w:t>Italien, vergleichbare südeuropäische Pflegeheimstruktur; Aussagen zu Organisationsfaktoren übertragbar</w:t>
      </w:r>
    </w:p>
    <w:p>
      <w:r>
        <w:rPr>
          <w:color w:val="5A7D3A"/>
          <w:sz w:val="18"/>
        </w:rPr>
        <w:t>https://pubmed.ncbi.nlm.nih.gov/42922003/</w:t>
      </w:r>
    </w:p>
    <w:p>
      <w:pPr>
        <w:pStyle w:val="Heading2"/>
      </w:pPr>
      <w:r>
        <w:t>Emotionale Anforderungen im Pflegeberuf: Was Erfahrung über längere Karrieren bewirkt</w:t>
      </w:r>
    </w:p>
    <w:p>
      <w:r>
        <w:rPr>
          <w:i/>
          <w:color w:val="666666"/>
          <w:sz w:val="18"/>
        </w:rPr>
        <w:t>Popucza TZ et al.  ·  Nurs Open  ·  Okt. 2026  ·  PMID 42921873</w:t>
      </w:r>
    </w:p>
    <w:p>
      <w:r>
        <w:t>Qualitative Studie mit 13 schwedischen Pflegekräften ab 60 Jahren mit mindestens 20 Jahren Berufserfahrung zu Veränderungen emotionaler Anforderungen und Emotionsregulation über die Karriere.</w:t>
      </w:r>
    </w:p>
    <w:p>
      <w:r>
        <w:rPr>
          <w:b/>
        </w:rPr>
        <w:t xml:space="preserve">Ergebnis: </w:t>
      </w:r>
      <w:r>
        <w:t>Teilnehmende beschrieben zunehmende berufliche Vorbereitung und bewusstere Emotionsregulation über die Zeit, jedoch nicht allein altersbedingt, sondern in Verbindung mit beruflichen und persönlichen Umständen, Arbeitsplatzveränderungen und gesellschaftlichen Transformationen. Emotionale Nachhaltigkeit hängt mit Arbeitsgestaltung, Erholungsmöglichkeiten und Mentoring-Chancen zusammen.</w:t>
      </w:r>
    </w:p>
    <w:p>
      <w:r>
        <w:rPr>
          <w:b/>
          <w:sz w:val="19"/>
        </w:rPr>
        <w:t xml:space="preserve">Übertragbarkeit: </w:t>
      </w:r>
      <w:r>
        <w:rPr>
          <w:sz w:val="19"/>
        </w:rPr>
        <w:t>Schweden, ähnliche nordische Pflegestruktur; Befunde zur emotionalen Belastbarkeit relevant für Karriereverlauf</w:t>
      </w:r>
    </w:p>
    <w:p>
      <w:r>
        <w:rPr>
          <w:color w:val="5A7D3A"/>
          <w:sz w:val="18"/>
        </w:rPr>
        <w:t>https://pubmed.ncbi.nlm.nih.gov/42921873/</w:t>
      </w:r>
    </w:p>
    <w:p>
      <w:pPr>
        <w:pStyle w:val="Heading2"/>
      </w:pPr>
      <w:r>
        <w:t>Partizipative Entscheidungsfindung in der Gastroenterologie: Rolle und Barrieren für die Pflegefachkraft</w:t>
      </w:r>
    </w:p>
    <w:p>
      <w:r>
        <w:rPr>
          <w:i/>
          <w:color w:val="666666"/>
          <w:sz w:val="18"/>
        </w:rPr>
        <w:t>Schoefs E et al.  ·  BMC Health Serv Res  ·  05.10.2026  ·  PMID 42907825</w:t>
      </w:r>
    </w:p>
    <w:p>
      <w:r>
        <w:t>Qualitative Studie mit 15 Patienten, 11 Gastroenterologen und 12 IBD-Pflegekräften in Belgien zur Umsetzung von Shared Decision Making (SDM) in der Versorgung.</w:t>
      </w:r>
    </w:p>
    <w:p>
      <w:r>
        <w:rPr>
          <w:b/>
        </w:rPr>
        <w:t xml:space="preserve">Ergebnis: </w:t>
      </w:r>
      <w:r>
        <w:t>Ärzte berichten routinemäßige SDM-Schritte, Patienten jedoch Inkonsistenzen bei emotionaler Unterstützung, Informationsklarheit und Präferenzenerhebung (p &lt; 0,05). IBD-Pflegekräfte wurden als wesentliche SDM-Partner wahrgenommen – sie verstärken Informationen, fördern Kommunikation und adressieren physische, emotionale und soziale Patientenbedürfnisse. Hauptbarrieren: niedrige Gesundheitskompetenz, mangelnde Kommunikation, Zeitdruck. Schlüsselfaktoren: SDM-Training und organisatorische Änderungen.</w:t>
      </w:r>
    </w:p>
    <w:p>
      <w:r>
        <w:rPr>
          <w:b/>
          <w:sz w:val="19"/>
        </w:rPr>
        <w:t xml:space="preserve">Übertragbarkeit: </w:t>
      </w:r>
      <w:r>
        <w:rPr>
          <w:sz w:val="19"/>
        </w:rPr>
        <w:t>Belgien, niederländischsprachiges System mit ähnlichen Versicherungsstrukturen; SDM-Barrieren auch in deutscher Versorgung relevant</w:t>
      </w:r>
    </w:p>
    <w:p>
      <w:r>
        <w:rPr>
          <w:color w:val="5A7D3A"/>
          <w:sz w:val="18"/>
        </w:rPr>
        <w:t>https://pubmed.ncbi.nlm.nih.gov/42907825/</w:t>
      </w:r>
    </w:p>
    <w:p>
      <w:pPr>
        <w:pStyle w:val="Heading1"/>
      </w:pPr>
      <w:r>
        <w:t>Aufgenommen am 25.10.2026</w:t>
      </w:r>
    </w:p>
    <w:p>
      <w:pPr>
        <w:pStyle w:val="Heading2"/>
      </w:pPr>
      <w:r>
        <w:t>Frailty-Screening mit Prävention reduziert Pflegebedürftigkeit im Alter</w:t>
      </w:r>
    </w:p>
    <w:p>
      <w:r>
        <w:rPr>
          <w:i/>
          <w:color w:val="666666"/>
          <w:sz w:val="18"/>
        </w:rPr>
        <w:t>Soma S et al.  ·  Age Ageing  ·  03.08.2026  ·  PMID 42920343</w:t>
      </w:r>
    </w:p>
    <w:p>
      <w:r>
        <w:t>Studie zur Wirkung eines Screenings auf Gebrechlichkeit mit anschließender Gesundheitsberatung auf die Rate von Pflegegrad-Zertifizierungen bei über 75-Jährigen in Japan.</w:t>
      </w:r>
    </w:p>
    <w:p>
      <w:r>
        <w:rPr>
          <w:b/>
        </w:rPr>
        <w:t xml:space="preserve">Ergebnis: </w:t>
      </w:r>
      <w:r>
        <w:t>Nach Einführung des Screening-basierten Interventionsprogramms sank die monatliche Quote der Pflegezertifizierungen in der Altersgruppe ≥75 Jahre um 6,8 % (95%-CI: 4,4–10,0 %) gegenüber dem projizierten Trend ohne Intervention. Die annualisierte Trendänderung zeigte ein Hazard Ratio von 0,974 (95%-CI: 0,963–0,983).</w:t>
      </w:r>
    </w:p>
    <w:p>
      <w:r>
        <w:rPr>
          <w:b/>
          <w:sz w:val="19"/>
        </w:rPr>
        <w:t xml:space="preserve">Übertragbarkeit: </w:t>
      </w:r>
      <w:r>
        <w:rPr>
          <w:sz w:val="19"/>
        </w:rPr>
        <w:t>Japan, aber mit Pflegezertifizierungssystem vergleichbar zur Erfassung von Pflegebedürftigkeit; kommunales Ansatzmodell übertragbar.</w:t>
      </w:r>
    </w:p>
    <w:p>
      <w:r>
        <w:rPr>
          <w:color w:val="5A7D3A"/>
          <w:sz w:val="18"/>
        </w:rPr>
        <w:t>https://pubmed.ncbi.nlm.nih.gov/42920343/</w:t>
      </w:r>
    </w:p>
    <w:p>
      <w:pPr>
        <w:pStyle w:val="Heading2"/>
      </w:pPr>
      <w:r>
        <w:t>CFTR-Modulatoren senken Belastung und Arbeitsausfälle pflegender Angehöriger</w:t>
      </w:r>
    </w:p>
    <w:p>
      <w:r>
        <w:rPr>
          <w:i/>
          <w:color w:val="666666"/>
          <w:sz w:val="18"/>
        </w:rPr>
        <w:t>Oliveira VDGSB et al.  ·  Orphanet J Rare Dis  ·  23.07.2026  ·  PMID 42920171</w:t>
      </w:r>
    </w:p>
    <w:p>
      <w:r>
        <w:t>Querschnittsstudie mit 174 primären Pflegepersonen (90,2 % Mütter) von Mukoviszidose-Patienten in Brasilien, vergleichend für Nutzer und Nicht-Nutzer von Elexacaftor/Tezacaftor/Ivacaftor (ETI).</w:t>
      </w:r>
    </w:p>
    <w:p>
      <w:r>
        <w:rPr>
          <w:b/>
        </w:rPr>
        <w:t xml:space="preserve">Ergebnis: </w:t>
      </w:r>
      <w:r>
        <w:t>Pflegepersonen von Nicht-Modulatoren-Nutzern investierten täglich signifikant mehr Zeit (300 Min. [IQR: 180–300] vs. 180 Min. [IQR: 90–240]; p=0,002) und hatten häufigere Arztkontakte (p=0,003). Zarit Burden Interview-12: höhere Scores in der Nicht-Modulatoren-Gruppe (20,0 [IQR: 16,0–25,2] vs. 15,5 [IQR: 11,2–23,0]; p=0,006); bei Kindern unter 5 Jahren noch ausgeprägter (20,0 vs. 14,0; p=0,003). Absenteeismus (15,8 % vs. 0,0 %; p=0,034), Präsentismus (50,0 % vs. 20,0 %; p=0,048) und Aktivitätsbeeinträchtigung (50,0 % vs. 30,0 %; p=0,011) signifikant höher ohne Modulatoren.</w:t>
      </w:r>
    </w:p>
    <w:p>
      <w:r>
        <w:rPr>
          <w:b/>
          <w:sz w:val="19"/>
        </w:rPr>
        <w:t xml:space="preserve">Übertragbarkeit: </w:t>
      </w:r>
      <w:r>
        <w:rPr>
          <w:sz w:val="19"/>
        </w:rPr>
        <w:t>Brasilien; aber Mechanismus der Entlastung durch bessere Gesundheit des Patienten übergeordnet übertragbar.</w:t>
      </w:r>
    </w:p>
    <w:p>
      <w:r>
        <w:rPr>
          <w:color w:val="5A7D3A"/>
          <w:sz w:val="18"/>
        </w:rPr>
        <w:t>https://pubmed.ncbi.nlm.nih.gov/42920171/</w:t>
      </w:r>
    </w:p>
    <w:p>
      <w:pPr>
        <w:pStyle w:val="Heading2"/>
      </w:pPr>
      <w:r>
        <w:t>Unterstützungsbedarf pflegender Angehöriger von Myeloma-Patienten: massive Versorgungslücken</w:t>
      </w:r>
    </w:p>
    <w:p>
      <w:r>
        <w:rPr>
          <w:i/>
          <w:color w:val="666666"/>
          <w:sz w:val="18"/>
        </w:rPr>
        <w:t>Lin Y et al.  ·  BMC Palliat Care  ·  29.08.2026  ·  PMID 42920119</w:t>
      </w:r>
    </w:p>
    <w:p>
      <w:r>
        <w:t>Querschnittsstudie mit 227 pflegenden Angehörigen von Myeloma-Patienten in Südostchina zur Erfassung von Unterstützungsbedarfen und wahrgenommener Verfügbarkeit von Hilfsangeboten.</w:t>
      </w:r>
    </w:p>
    <w:p>
      <w:r>
        <w:rPr>
          <w:b/>
        </w:rPr>
        <w:t xml:space="preserve">Ergebnis: </w:t>
      </w:r>
      <w:r>
        <w:t>Höchster Bedarf bestand für Krankheitsinformation (90,04 %), niedrigste wahrgenommene Versorgung für psychosoziale Ressourcen (50,05 %). In den Top-10 unerfüllter Bedürfnisse: vier Items zu psychosozialen Ressourcen, drei zu Pflegefähigkeiten, zwei zu medizinischen Diensten, eines zu Krankheitsinformation. Ehegatten, Personen mit Vorpflegeerfahrung und die, die auch Kinder betreuen, hatten signifikant höhere Bedarfswerte.</w:t>
      </w:r>
    </w:p>
    <w:p>
      <w:r>
        <w:rPr>
          <w:b/>
          <w:sz w:val="19"/>
        </w:rPr>
        <w:t xml:space="preserve">Übertragbarkeit: </w:t>
      </w:r>
      <w:r>
        <w:rPr>
          <w:sz w:val="19"/>
        </w:rPr>
        <w:t>China, aber Bedarfsstruktur pflegender Angehöriger übergeordnet vergleichbar.</w:t>
      </w:r>
    </w:p>
    <w:p>
      <w:r>
        <w:rPr>
          <w:color w:val="5A7D3A"/>
          <w:sz w:val="18"/>
        </w:rPr>
        <w:t>https://pubmed.ncbi.nlm.nih.gov/42920119/</w:t>
      </w:r>
    </w:p>
    <w:p>
      <w:pPr>
        <w:pStyle w:val="Heading2"/>
      </w:pPr>
      <w:r>
        <w:t>Vergebungs-Psychoedukation reduziert Todesangst und Pflegebelastung am Lebensende</w:t>
      </w:r>
    </w:p>
    <w:p>
      <w:r>
        <w:rPr>
          <w:i/>
          <w:color w:val="666666"/>
          <w:sz w:val="18"/>
        </w:rPr>
        <w:t>Cancer Nurs  ·  21.10.2026  ·  PMID 42919807</w:t>
      </w:r>
    </w:p>
    <w:p>
      <w:r>
        <w:t>Randomisierte kontrollierte Studie zur Wirkung einer Psychoedukationsintervention zum Thema Vergebung auf Todesangst, Pflegebelastung und Vergebungsneigung bei 56 Pflegepersonen von Sterbenden (Interventionsgruppe n=28, Kontrollgruppe n=28).</w:t>
      </w:r>
    </w:p>
    <w:p>
      <w:r>
        <w:rPr>
          <w:b/>
        </w:rPr>
        <w:t xml:space="preserve">Ergebnis: </w:t>
      </w:r>
      <w:r>
        <w:t>Die durchschnittlichen Scores für Todesangst und Pflegebelastung in Post-Test und Verlaufsmessungen (1 und 3 Monate) der Interventionsgruppe waren statistisch signifikant niedriger als in der Kontrollgruppe (p&lt;0,05). Die Intervention zeigte anhaltende Effekte über alle Follow-up-Zeitpunkte.</w:t>
      </w:r>
    </w:p>
    <w:p>
      <w:r>
        <w:rPr>
          <w:b/>
          <w:sz w:val="19"/>
        </w:rPr>
        <w:t xml:space="preserve">Übertragbarkeit: </w:t>
      </w:r>
      <w:r>
        <w:rPr>
          <w:sz w:val="19"/>
        </w:rPr>
        <w:t>Ursprungsland nicht genannt; aber Intervention psychoedukativer Art mit allgemeinen Anwendbarkeitsprinzipien.</w:t>
      </w:r>
    </w:p>
    <w:p>
      <w:r>
        <w:rPr>
          <w:color w:val="5A7D3A"/>
          <w:sz w:val="18"/>
        </w:rPr>
        <w:t>https://pubmed.ncbi.nlm.nih.gov/42919807/</w:t>
      </w:r>
    </w:p>
    <w:p>
      <w:pPr>
        <w:pStyle w:val="Heading2"/>
      </w:pPr>
      <w:r>
        <w:t>Advanced Practice Nursing in Deutschland und Brasilien: regulatorische Hürden, Akademisierungswege</w:t>
      </w:r>
    </w:p>
    <w:p>
      <w:r>
        <w:rPr>
          <w:i/>
          <w:color w:val="666666"/>
          <w:sz w:val="18"/>
        </w:rPr>
        <w:t>Bula DA et al.  ·  Rev Bras Enferm  ·  16.10.2026  ·  PMID 42912127</w:t>
      </w:r>
    </w:p>
    <w:p>
      <w:r>
        <w:t>Qualitative Vergleichsstudie durch Analyse von Strategiedokumenten und Sekundärdaten zu Bedingungen der Advanced Practice Nursing Entwicklung in der Primärversorgung in Brasilien und Deutschland.</w:t>
      </w:r>
    </w:p>
    <w:p>
      <w:r>
        <w:rPr>
          <w:b/>
        </w:rPr>
        <w:t xml:space="preserve">Ergebnis: </w:t>
      </w:r>
      <w:r>
        <w:t>Brasilien: langjährige akademische Pflegeausbildung und etablierte Verantwortungen unterstützen Advanced Practice Nursing, aber Regulierungslücken bleiben Barriere. Deutschland: Entwicklung reflektiert berufsständische Pflegetradition und rezente Akademisierungsbewegung mit wenigen AP-Masterstudiengängen; ärztezentriertes Modell der Primärversorgung und unzureichende Rechtsgrundlagen hemmen Umsetzung trotz wachsenden politischen Moments. Schlussfolgerung: Entwicklung ist kontext- und landspezifisch; effektive Implementierung erfordert Alignment mit Institutionen, Ausbildungswegen und Berufsrollen.</w:t>
      </w:r>
    </w:p>
    <w:p>
      <w:r>
        <w:rPr>
          <w:b/>
          <w:sz w:val="19"/>
        </w:rPr>
        <w:t xml:space="preserve">Übertragbarkeit: </w:t>
      </w:r>
      <w:r>
        <w:rPr>
          <w:sz w:val="19"/>
        </w:rPr>
        <w:t>Deutschland und direkter Vergleich mit Brasilien; illustriert strukturelle und regulatorische Barrieren im deutschen System.</w:t>
      </w:r>
    </w:p>
    <w:p>
      <w:r>
        <w:rPr>
          <w:color w:val="5A7D3A"/>
          <w:sz w:val="18"/>
        </w:rPr>
        <w:t>https://pubmed.ncbi.nlm.nih.gov/42912127/</w:t>
      </w:r>
    </w:p>
    <w:p>
      <w:pPr>
        <w:pStyle w:val="Heading2"/>
      </w:pPr>
      <w:r>
        <w:t>Infektionsprävention in Pflegeheimen: standardisierte Verfahren verbessern Compliance</w:t>
      </w:r>
    </w:p>
    <w:p>
      <w:r>
        <w:rPr>
          <w:i/>
          <w:color w:val="666666"/>
          <w:sz w:val="18"/>
        </w:rPr>
        <w:t>Bordino V et al.  ·  Antimicrob Resist Infect Control  ·  25.07.2026  ·  PMID 42907937</w:t>
      </w:r>
    </w:p>
    <w:p>
      <w:r>
        <w:t>Zwei regionale Befragungen in italienischen Pflegeheimen (2021–2022 und 2024) zur Verfügbarkeit, Annahme und Nützlichkeit standardisierter Infektionspräventions-Verfahrensdokumente.</w:t>
      </w:r>
    </w:p>
    <w:p>
      <w:r>
        <w:rPr>
          <w:b/>
        </w:rPr>
        <w:t xml:space="preserve">Ergebnis: </w:t>
      </w:r>
      <w:r>
        <w:t>In der ersten Befragung (n=436 Heime, 55,9 % Response): hohe Verfügbarkeit schriftlicher Verfahren für Handhygiene (99,1 %), COVID-19-Isolation (99,8 %) und Reinigung (98,9 %); niedrig für Sterilisation (46,2 %), Bloodstream-Infektionsprävention (45,9 %) und Management colonisierter Patienten (62,0 %). Nach Verbreitung standardisierter Verfahren (2023) gaben 99,7 % der 305 teilnehmenden Heime (39,1 %) an, diese als angemessen zu befinden; 89 % urteilten insgesamt positiv.</w:t>
      </w:r>
    </w:p>
    <w:p>
      <w:r>
        <w:rPr>
          <w:b/>
          <w:sz w:val="19"/>
        </w:rPr>
        <w:t xml:space="preserve">Übertragbarkeit: </w:t>
      </w:r>
      <w:r>
        <w:rPr>
          <w:sz w:val="19"/>
        </w:rPr>
        <w:t>Italien, vergleichbares Gesundheitssystem; strukturierte regionale Ressourcen als Governance-Element.</w:t>
      </w:r>
    </w:p>
    <w:p>
      <w:r>
        <w:rPr>
          <w:color w:val="5A7D3A"/>
          <w:sz w:val="18"/>
        </w:rPr>
        <w:t>https://pubmed.ncbi.nlm.nih.gov/42907937/</w:t>
      </w:r>
    </w:p>
    <w:p>
      <w:pPr>
        <w:pStyle w:val="Heading1"/>
      </w:pPr>
      <w:r>
        <w:t>Aufgenommen am 24.10.2026</w:t>
      </w:r>
    </w:p>
    <w:p>
      <w:pPr>
        <w:pStyle w:val="Heading2"/>
      </w:pPr>
      <w:r>
        <w:t>Sturzprävention durch Schulung: Wirkung auf Wissen, Sicherheit und Fallraten bei älteren Patienten im Krankenhaus</w:t>
      </w:r>
    </w:p>
    <w:p>
      <w:r>
        <w:rPr>
          <w:i/>
          <w:color w:val="666666"/>
          <w:sz w:val="18"/>
        </w:rPr>
        <w:t>Kim E et al.  ·  BMC Geriatr  ·  27.07.2026  ·  PMID 42919133</w:t>
      </w:r>
    </w:p>
    <w:p>
      <w:r>
        <w:t>Quasi-experimentelle Studie zum Vergleich einer intensiven, partizipativen Schulung (APREAL) mit Routineunterricht bei 70 älteren Patienten in koreanischen Pflegestationen.</w:t>
      </w:r>
    </w:p>
    <w:p>
      <w:r>
        <w:rPr>
          <w:b/>
        </w:rPr>
        <w:t xml:space="preserve">Ergebnis: </w:t>
      </w:r>
      <w:r>
        <w:t>APREAL-Gruppe zeigte signifikant höhere Werte für Sturzwissen (F=27,41; p&lt;0,001; η²=0,287), Selbstwirksamkeit (F=32,85; p&lt;0,001; η²=0,326) und Sturzpräventionsverhalten (F=93,14; p&lt;0,001; η²=0,578). Die Sturzrate war auf der Interventionsstation numerisch niedriger (0,0 vs. 2,3 pro 1.000 Patiententage), ohne statistische Kontrolle.</w:t>
      </w:r>
    </w:p>
    <w:p>
      <w:r>
        <w:rPr>
          <w:b/>
          <w:sz w:val="19"/>
        </w:rPr>
        <w:t xml:space="preserve">Übertragbarkeit: </w:t>
      </w:r>
      <w:r>
        <w:rPr>
          <w:sz w:val="19"/>
        </w:rPr>
        <w:t>Südkorea mit vergleichbarem Versorgungsmodell; Sicherheitsbefund zur Schulungseffektivität übertragbar.</w:t>
      </w:r>
    </w:p>
    <w:p>
      <w:r>
        <w:rPr>
          <w:color w:val="5A7D3A"/>
          <w:sz w:val="18"/>
        </w:rPr>
        <w:t>https://pubmed.ncbi.nlm.nih.gov/42919133/</w:t>
      </w:r>
    </w:p>
    <w:p>
      <w:pPr>
        <w:pStyle w:val="Heading2"/>
      </w:pPr>
      <w:r>
        <w:t>Informationsquellen und Selbstwirksamkeit: was pflegenden Angehörigen in der Demenzbetreuung hilft</w:t>
      </w:r>
    </w:p>
    <w:p>
      <w:r>
        <w:rPr>
          <w:i/>
          <w:color w:val="666666"/>
          <w:sz w:val="18"/>
        </w:rPr>
        <w:t>Goh YL et al.  ·  BMC Geriatr  ·  28.07.2026  ·  PMID 42919127</w:t>
      </w:r>
    </w:p>
    <w:p>
      <w:r>
        <w:t>Querschnittstudie an 258 pflegenden Angehörigen von Demenzpatienten in Malaysia, die untersuchte, wie Demenzwissen, eHealth-Literalität und Informationsquellen deren Selbstwirksamkeit beeinflussen.</w:t>
      </w:r>
    </w:p>
    <w:p>
      <w:r>
        <w:rPr>
          <w:b/>
        </w:rPr>
        <w:t xml:space="preserve">Ergebnis: </w:t>
      </w:r>
      <w:r>
        <w:t>Multiple Informationsquellen erhöhten Selbstwirksamkeit signifikant (erklärte Varianz von 6,7% auf 12,6%; p&lt;0,05). Schriftliche Materialien und ärztliche Beratung stärkten Vertrauen; Facebook und Selbsthilfegruppen verminderten Selbstwirksamkeit. Ländliche Angehörige fühlten sich weniger sicher bei Entlastungsangeboten; Verheiratete hatten weniger Schwierigkeiten mit Verhaltensproblemen.</w:t>
      </w:r>
    </w:p>
    <w:p>
      <w:r>
        <w:rPr>
          <w:b/>
          <w:sz w:val="19"/>
        </w:rPr>
        <w:t xml:space="preserve">Übertragbarkeit: </w:t>
      </w:r>
      <w:r>
        <w:rPr>
          <w:sz w:val="19"/>
        </w:rPr>
        <w:t>Malaysia, aber Muster zu Informationseffekten auf Angehörigenbelastung international relevant.</w:t>
      </w:r>
    </w:p>
    <w:p>
      <w:r>
        <w:rPr>
          <w:color w:val="5A7D3A"/>
          <w:sz w:val="18"/>
        </w:rPr>
        <w:t>https://pubmed.ncbi.nlm.nih.gov/42919127/</w:t>
      </w:r>
    </w:p>
    <w:p>
      <w:pPr>
        <w:pStyle w:val="Heading2"/>
      </w:pPr>
      <w:r>
        <w:t>Mütterliche Sterblichkeit: Schulung von Pflegefachpersonen verbessert Meldepraxis und Ermittlungen</w:t>
      </w:r>
    </w:p>
    <w:p>
      <w:r>
        <w:rPr>
          <w:i/>
          <w:color w:val="666666"/>
          <w:sz w:val="18"/>
        </w:rPr>
        <w:t>Pereira NAPG et al.  ·  Rev Lat Am Enfermagem  ·  16.10.2026  ·  PMID 42912033</w:t>
      </w:r>
    </w:p>
    <w:p>
      <w:r>
        <w:t>Epidemiologische Studie mit 143 Pflegefachpersonen aus dem Primärbereich in Brasilien zu Faktoren, die ihre Beteiligung an Überwachung mütterlicher Todesfälle beeinflussen.</w:t>
      </w:r>
    </w:p>
    <w:p>
      <w:r>
        <w:rPr>
          <w:b/>
        </w:rPr>
        <w:t xml:space="preserve">Ergebnis: </w:t>
      </w:r>
      <w:r>
        <w:t>Pflegefachpersonen mit Schulung zeigten signifikant höhere Chancen, Untersuchungsverfahren durchzuführen und an Meetings der Müttersterblichkeitskommission teilzunehmen (OR=5,82; 95%-KI: 2,46–13,75). Schulung war mit Kenntnis der Ziele des Komitees und deren Umsetzung assoziiert. Zeit in der Stelle korrelierte mit Schulungsteilnahme und Untersuchungspraxis.</w:t>
      </w:r>
    </w:p>
    <w:p>
      <w:r>
        <w:rPr>
          <w:b/>
          <w:sz w:val="19"/>
        </w:rPr>
        <w:t xml:space="preserve">Übertragbarkeit: </w:t>
      </w:r>
      <w:r>
        <w:rPr>
          <w:sz w:val="19"/>
        </w:rPr>
        <w:t>Brasilien, aber Effekt von Schulung auf Versorgungspraxis in multiprofessionalen Settings übertragbar.</w:t>
      </w:r>
    </w:p>
    <w:p>
      <w:r>
        <w:rPr>
          <w:color w:val="5A7D3A"/>
          <w:sz w:val="18"/>
        </w:rPr>
        <w:t>https://pubmed.ncbi.nlm.nih.gov/42912033/</w:t>
      </w:r>
    </w:p>
    <w:p>
      <w:pPr>
        <w:pStyle w:val="Heading2"/>
      </w:pPr>
      <w:r>
        <w:t>Pflege für transgender Frauen: Barrieren, Schulungsbedarf und inklusive Praktiken</w:t>
      </w:r>
    </w:p>
    <w:p>
      <w:r>
        <w:rPr>
          <w:i/>
          <w:color w:val="666666"/>
          <w:sz w:val="18"/>
        </w:rPr>
        <w:t>Vila Nova PVR et al.  ·  Rev Lat Am Enfermagem  ·  16.10.2026  ·  PMID 42912031</w:t>
      </w:r>
    </w:p>
    <w:p>
      <w:r>
        <w:t>Qualitative Studie mit 94 Pflegefachpersonen aus dem Primärbereich in ganz Brasilien zur Versorgung transgender Frauen nach Leininger's Theorie der transkulturellem Pflege.</w:t>
      </w:r>
    </w:p>
    <w:p>
      <w:r>
        <w:rPr>
          <w:b/>
        </w:rPr>
        <w:t xml:space="preserve">Ergebnis: </w:t>
      </w:r>
      <w:r>
        <w:t>Vier Themenbereiche: Herausforderungen und Barrieren (Vorurteile, Zugänglichkeit); wesentliche Handlungen und Versorgung; Einbeziehung und Respekt; Rolle von Pflegefachpersonen und Gemeindegesundheitsarbeitern. Mehrheit der Pflegefachpersonen hatte keine spezifische Schulung oder Protokolle für diese Bevölkerungsgruppe. Initiativen für Willkommenskultur und Gemeindegesundheitsarbeit wurden identifiziert.</w:t>
      </w:r>
    </w:p>
    <w:p>
      <w:r>
        <w:rPr>
          <w:b/>
          <w:sz w:val="19"/>
        </w:rPr>
        <w:t xml:space="preserve">Übertragbarkeit: </w:t>
      </w:r>
      <w:r>
        <w:rPr>
          <w:sz w:val="19"/>
        </w:rPr>
        <w:t>Brasilien, qualitatives Muster zu Schulungs- und Protokolldefiziten für spezialisierte Versorgung international relevant.</w:t>
      </w:r>
    </w:p>
    <w:p>
      <w:r>
        <w:rPr>
          <w:color w:val="5A7D3A"/>
          <w:sz w:val="18"/>
        </w:rPr>
        <w:t>https://pubmed.ncbi.nlm.nih.gov/42912031/</w:t>
      </w:r>
    </w:p>
    <w:p>
      <w:pPr>
        <w:pStyle w:val="Heading2"/>
      </w:pPr>
      <w:r>
        <w:t>Aktives Altern: wer profitiert? Übergänge pflegender älterer Menschen zwischen Pflege und Freiwilligenarbeit</w:t>
      </w:r>
    </w:p>
    <w:p>
      <w:r>
        <w:rPr>
          <w:i/>
          <w:color w:val="666666"/>
          <w:sz w:val="18"/>
        </w:rPr>
        <w:t>Cretazzo F et al.  ·  Front Public Health  ·  07.10.2026  ·  PMID 42909995</w:t>
      </w:r>
    </w:p>
    <w:p>
      <w:r>
        <w:t>Längsschnittanalyse von SHARE-Wellen 7–9 zur Untersuchung, wie Übergänge älterer Europäer in und aus der Rolle des ‚Super-Helpers' (gleichzeitig pflegend und freiwillig tätig) mit Gesundheitsergebnissen assoziiert sind.</w:t>
      </w:r>
    </w:p>
    <w:p>
      <w:r>
        <w:rPr>
          <w:b/>
        </w:rPr>
        <w:t xml:space="preserve">Ergebnis: </w:t>
      </w:r>
      <w:r>
        <w:t>Übergänge von alleiniger Pflege zu Super-Helper-Rolle verbesserten Gesundheitsmerkmale; Übergänge von Freiwilligenarbeit zu Super-Helper-Rolle verschlechterten sie. Übergänge von Super-Helper zu alleiniger Freiwilligenarbeit waren kurzfristig mit schlechterer Selbstwahrnehmung und depressiven Symptomen assoziiert (besonders bei früheren Co-Wohner-Pflegenden). Respite-Care zeigte schützende Effekte gegen Überbelastung.</w:t>
      </w:r>
    </w:p>
    <w:p>
      <w:r>
        <w:rPr>
          <w:b/>
          <w:sz w:val="19"/>
        </w:rPr>
        <w:t xml:space="preserve">Übertragbarkeit: </w:t>
      </w:r>
      <w:r>
        <w:rPr>
          <w:sz w:val="19"/>
        </w:rPr>
        <w:t>Europa (SHARE-Survey); Muster zu Pflegebelastung und Übergängen in Rollen für deutschsprachigen Raum relevant.</w:t>
      </w:r>
    </w:p>
    <w:p>
      <w:r>
        <w:rPr>
          <w:color w:val="5A7D3A"/>
          <w:sz w:val="18"/>
        </w:rPr>
        <w:t>https://pubmed.ncbi.nlm.nih.gov/42909995/</w:t>
      </w:r>
    </w:p>
    <w:p>
      <w:pPr>
        <w:pStyle w:val="Heading2"/>
      </w:pPr>
      <w:r>
        <w:t>Rehabilitative Pflege im Heim: Funktionsfähigkeit, Lebensqualität und Rückkehrerfolg in Deutschland</w:t>
      </w:r>
    </w:p>
    <w:p>
      <w:r>
        <w:rPr>
          <w:i/>
          <w:color w:val="666666"/>
          <w:sz w:val="18"/>
        </w:rPr>
        <w:t>Gierke F et al.  ·  Z Gerontol Geriatr  ·  02.10.2026  ·  PMID 42825944</w:t>
      </w:r>
    </w:p>
    <w:p>
      <w:r>
        <w:t>Prospektive Einarm-Studie mit 67 Bewohnern aus drei deutschen Heimen zur Wirkung eines strukturierten rehabilitativen Aktivierungsansatzes auf funktionelle Selbstständigkeit, Gesundheit und Rückkehr nach Hause.</w:t>
      </w:r>
    </w:p>
    <w:p>
      <w:r>
        <w:rPr>
          <w:b/>
        </w:rPr>
        <w:t xml:space="preserve">Ergebnis: </w:t>
      </w:r>
      <w:r>
        <w:t>Allgemeine Gesundheitswahrnehmung zeigte signifikanten Zeiteffekt (p=0,023). SF-36 zeigt signifikante Verbesserungen bei körperlicher Funktionsfähigkeit, sozialer Funktionsfähigkeit, psychischem Wohlbefinden (alle p&lt;0,05). 32,8% der Patienten (n=22) kehrten innerhalb von 6 Monaten nach Hause zurück. Funktionelle Unabhängigkeit erhöhte sich deskriptiv, aber nicht signifikant (p=0,306).</w:t>
      </w:r>
    </w:p>
    <w:p>
      <w:r>
        <w:rPr>
          <w:b/>
          <w:sz w:val="19"/>
        </w:rPr>
        <w:t xml:space="preserve">Übertragbarkeit: </w:t>
      </w:r>
      <w:r>
        <w:rPr>
          <w:sz w:val="19"/>
        </w:rPr>
        <w:t>Deutschland; Daten aus deutschen Pflegeheimen mit direkter Anwendbarkeit.</w:t>
      </w:r>
    </w:p>
    <w:p>
      <w:r>
        <w:rPr>
          <w:color w:val="5A7D3A"/>
          <w:sz w:val="18"/>
        </w:rPr>
        <w:t>https://pubmed.ncbi.nlm.nih.gov/42825944/</w:t>
      </w:r>
    </w:p>
    <w:p>
      <w:pPr>
        <w:pStyle w:val="Heading1"/>
      </w:pPr>
      <w:r>
        <w:t>Aufgenommen am 23.10.2026</w:t>
      </w:r>
    </w:p>
    <w:p>
      <w:pPr>
        <w:pStyle w:val="Heading2"/>
      </w:pPr>
      <w:r>
        <w:t>Demenz-Rehabilitationsprogramm mit Angehörigenunterstützung: Was bewirkt es für pflegende Angehörige?</w:t>
      </w:r>
    </w:p>
    <w:p>
      <w:r>
        <w:rPr>
          <w:i/>
          <w:color w:val="666666"/>
          <w:sz w:val="18"/>
        </w:rPr>
        <w:t>Conradsson M et al.  ·  BMC Geriatr  ·  21.10.2026  ·  PMID 42907949</w:t>
      </w:r>
    </w:p>
    <w:p>
      <w:r>
        <w:t>Randomisierte Pilotstudie zu einem 20-wöchigen multiprofessionellen Rehabilitationsprogramm für Menschen mit Demenz im häuslichen Bereich, kombiniert mit Unterstützung und Schulung für pflegende Angehörige (Belastung, depressive Symptome, Lebensqualität).</w:t>
      </w:r>
    </w:p>
    <w:p>
      <w:r>
        <w:rPr>
          <w:b/>
        </w:rPr>
        <w:t xml:space="preserve">Ergebnis: </w:t>
      </w:r>
      <w:r>
        <w:t>95 % der Angehörigen berichteten nach den Gruppenveranstaltungen gestiegenes Wissen über Unterstützung der Erkrankten (20/21), 90 % verbesserte Bewältigungsstrategien. In Caregiver Burden Scale und Geriatric Depression Scale keine signifikanten Unterschiede zwischen Interventions- und Kontrollgruppe, aber Unterschiede in Lebensqualitäts-Subskalen zugunsten der Kontrolle in Monaten 24 und 36. Intervention zeigt gute Teilnahmefähigkeit (100 % Baseline-Assessment, 87 % bei Follow-ups).</w:t>
      </w:r>
    </w:p>
    <w:p>
      <w:r>
        <w:rPr>
          <w:b/>
          <w:sz w:val="19"/>
        </w:rPr>
        <w:t xml:space="preserve">Übertragbarkeit: </w:t>
      </w:r>
      <w:r>
        <w:rPr>
          <w:sz w:val="19"/>
        </w:rPr>
        <w:t>Schweden, vergleichbare Langzeitpflege-Strukturen und Versicherungssystem</w:t>
      </w:r>
    </w:p>
    <w:p>
      <w:r>
        <w:rPr>
          <w:color w:val="5A7D3A"/>
          <w:sz w:val="18"/>
        </w:rPr>
        <w:t>https://pubmed.ncbi.nlm.nih.gov/42907949/</w:t>
      </w:r>
    </w:p>
    <w:p>
      <w:pPr>
        <w:pStyle w:val="Heading2"/>
      </w:pPr>
      <w:r>
        <w:t>Personalisierte Pflegepläne zur Ernährung: weniger Wundinfektionen, kürzerer Krankenhausaufenthalt</w:t>
      </w:r>
    </w:p>
    <w:p>
      <w:r>
        <w:rPr>
          <w:i/>
          <w:color w:val="666666"/>
          <w:sz w:val="18"/>
        </w:rPr>
        <w:t>Lv T et al.  ·  BMC Surg  ·  27.07.2026  ·  PMID 42907841</w:t>
      </w:r>
    </w:p>
    <w:p>
      <w:r>
        <w:t>Retrospektive Kohortenstudie zu individualisierten Pflegeplänen basierend auf modifiziertem Ernährungsscreening (abPG-SGA) bei 206 kolorektalen Krebspatienten zur Optimierung postoperativen Ernährungsstatus, Komplikationen und Verweildauer.</w:t>
      </w:r>
    </w:p>
    <w:p>
      <w:r>
        <w:rPr>
          <w:b/>
        </w:rPr>
        <w:t xml:space="preserve">Ergebnis: </w:t>
      </w:r>
      <w:r>
        <w:t>Personalisierte Pflege assoziiert mit signifikant niedrigeren Odds für Wundinfektionen (adjustiertes OR 0,26, 95%-KI 0,08–0,85, p = 0,025) und Harnwegsinfektionen (OR 0,17, 95%-KI 0,03–0,79, p = 0,022). Krankenhausaufenthalt reduziert um 1,92 Tage (adjustiertes β = -1,92, 95%-KI -3,31 bis -0,53, p = 0,007). Postoperative Prealbumin-Werte um 29,1 mg/L verbessert (p = 0,004).</w:t>
      </w:r>
    </w:p>
    <w:p>
      <w:r>
        <w:rPr>
          <w:b/>
          <w:sz w:val="19"/>
        </w:rPr>
        <w:t xml:space="preserve">Übertragbarkeit: </w:t>
      </w:r>
      <w:r>
        <w:rPr>
          <w:sz w:val="19"/>
        </w:rPr>
        <w:t>China, Ernährungsmanagement-Prinzipien und Komplikationsprävention universell</w:t>
      </w:r>
    </w:p>
    <w:p>
      <w:r>
        <w:rPr>
          <w:color w:val="5A7D3A"/>
          <w:sz w:val="18"/>
        </w:rPr>
        <w:t>https://pubmed.ncbi.nlm.nih.gov/42907841/</w:t>
      </w:r>
    </w:p>
    <w:p>
      <w:pPr>
        <w:pStyle w:val="Heading2"/>
      </w:pPr>
      <w:r>
        <w:t>Strukturiertes Schmerzmanagement durch Pflegende: weniger Schmerzen, bessere Zufriedenheit nach Operation</w:t>
      </w:r>
    </w:p>
    <w:p>
      <w:r>
        <w:rPr>
          <w:i/>
          <w:color w:val="666666"/>
          <w:sz w:val="18"/>
        </w:rPr>
        <w:t>Yan J et al.  ·  J Orthop Surg (Hong Kong)  ·  21.10.2026  ·  PMID 42906082</w:t>
      </w:r>
    </w:p>
    <w:p>
      <w:r>
        <w:t>Retrospektive Vor-Nachher-Studie (206 Patienten) zu einem von Pflegenden geleiteten Workflow mit strukturierter Schmerzerfassung (NRS-Dokumentation), Eskalation bei NRS ≥4 und Reassessment 30–60 min nach Rettungsanalgesie auf orthopädischen Stationen.</w:t>
      </w:r>
    </w:p>
    <w:p>
      <w:r>
        <w:rPr>
          <w:b/>
        </w:rPr>
        <w:t xml:space="preserve">Ergebnis: </w:t>
      </w:r>
      <w:r>
        <w:t>Ineffektive Schmerzkon trolle (NRS ≥4) in den ersten 24 h sank von 38,8 % auf 24,1 % (p = 0,023). Mediane Zeit bis erste Rettungsanalgesie fiel von 55 auf 30 Minuten (p &lt; 0,001). Bewegungsinduzierter Spitzenschmerz sank von 6,0 auf 5,0 (p &lt; 0,001). Hochzufriedenheit stieg von 67,3 % auf 80,6 % (p = 0,030). Adjustierte Odds Ratio für ineffektive Schmerzkon trolle: 0,53 (95%-KI 0,29–0,96).</w:t>
      </w:r>
    </w:p>
    <w:p>
      <w:r>
        <w:rPr>
          <w:b/>
          <w:sz w:val="19"/>
        </w:rPr>
        <w:t xml:space="preserve">Übertragbarkeit: </w:t>
      </w:r>
      <w:r>
        <w:rPr>
          <w:sz w:val="19"/>
        </w:rPr>
        <w:t>China, universelle Schmerzbehandlungsprinzipien übertragbar</w:t>
      </w:r>
    </w:p>
    <w:p>
      <w:r>
        <w:rPr>
          <w:color w:val="5A7D3A"/>
          <w:sz w:val="18"/>
        </w:rPr>
        <w:t>https://pubmed.ncbi.nlm.nih.gov/42906082/</w:t>
      </w:r>
    </w:p>
    <w:p>
      <w:pPr>
        <w:pStyle w:val="Heading2"/>
      </w:pPr>
      <w:r>
        <w:t>Gerontologische Kompetenzen: junge Pflegekräfte selbstbewusster, aber Kompetenzlücken bleiben</w:t>
      </w:r>
    </w:p>
    <w:p>
      <w:r>
        <w:rPr>
          <w:i/>
          <w:color w:val="666666"/>
          <w:sz w:val="18"/>
        </w:rPr>
        <w:t>Tohmola A et al.  ·  Nurs Open  ·  Okt. 2026  ·  PMID 42905609</w:t>
      </w:r>
    </w:p>
    <w:p>
      <w:r>
        <w:t>Querschnittstudie mit 493 Pflegekräften (Fachkrankenpfleger und Krankenpflegehelfer) in Finnland zur Selbsteinschätzung gerontologischer Kompetenzen mit 53-Item-Instrument (11 Kompetenzbereiche).</w:t>
      </w:r>
    </w:p>
    <w:p>
      <w:r>
        <w:rPr>
          <w:b/>
        </w:rPr>
        <w:t xml:space="preserve">Ergebnis: </w:t>
      </w:r>
      <w:r>
        <w:t>Fachkrankenpfleger bewerteten Gesamtkompetenz als sehr gut oder gut. Stärkste Dimensionen: Beziehungsgestaltung, sichere Wohnumgebung, Funktionsfähigkeitserhalt. Statistische Signifikanz nur für Alter: unter 40 Jahren deutlich höhere Gesamtkompetenz als ab 50 Jahren. Defizite in einzelnen Bereichen bleiben trotz guter Gesamtbewertung. Befund unterstreicht Bedeutung kontinuierlicher Kompetenzentwicklung über gesamte Berufslaufbahn.</w:t>
      </w:r>
    </w:p>
    <w:p>
      <w:r>
        <w:rPr>
          <w:b/>
          <w:sz w:val="19"/>
        </w:rPr>
        <w:t xml:space="preserve">Übertragbarkeit: </w:t>
      </w:r>
      <w:r>
        <w:rPr>
          <w:sz w:val="19"/>
        </w:rPr>
        <w:t>Finnland, vergleichbare nordeuropäische Pflegeausbildung</w:t>
      </w:r>
    </w:p>
    <w:p>
      <w:r>
        <w:rPr>
          <w:color w:val="5A7D3A"/>
          <w:sz w:val="18"/>
        </w:rPr>
        <w:t>https://pubmed.ncbi.nlm.nih.gov/42905609/</w:t>
      </w:r>
    </w:p>
    <w:p>
      <w:pPr>
        <w:pStyle w:val="Heading2"/>
      </w:pPr>
      <w:r>
        <w:t>Häusliche Diabetesversorgung in vulnerablen Familien: Grenzen von Fachkompetenz, Bedarf an Begleitung</w:t>
      </w:r>
    </w:p>
    <w:p>
      <w:r>
        <w:rPr>
          <w:i/>
          <w:color w:val="666666"/>
          <w:sz w:val="18"/>
        </w:rPr>
        <w:t>Jeppesen MN et al.  ·  Scand J Caring Sci  ·  Dez. 2026  ·  PMID 42904583</w:t>
      </w:r>
    </w:p>
    <w:p>
      <w:r>
        <w:t>Qualitative phänomenologische Studie mit 14 Fachpersonen (75 h Feldbeobachtung, Fokusgruppen) zu Herausforderungen bei häuslicher Typ-1-Diabetes-Versorgung von Kindern aus sozialen Risikosituationen in Dänemark.</w:t>
      </w:r>
    </w:p>
    <w:p>
      <w:r>
        <w:rPr>
          <w:b/>
        </w:rPr>
        <w:t xml:space="preserve">Ergebnis: </w:t>
      </w:r>
      <w:r>
        <w:t>Fachpersonen berichten von kontinuierlichem Lern- und Entwicklungsprozess, Anpassung von Fachkompetenz an Familienkontext erforderlich. Zentrale Dimensionen: Aufbau von Vertrauen und Beziehungsmanagement, emotionale Belastung, Umgang mit psychosozialen Problemen und ethischen Dilemmata oft jenseits vorhandener Expertise. Hauptbefund: Häusliche Diabetesversorgung erfordert Flexibilität, emotionale Bindung, erweiterte Kompetenzen; Bedarf für Struktursupervision, Peer-Support und organisatorische Anleitung.</w:t>
      </w:r>
    </w:p>
    <w:p>
      <w:r>
        <w:rPr>
          <w:b/>
          <w:sz w:val="19"/>
        </w:rPr>
        <w:t xml:space="preserve">Übertragbarkeit: </w:t>
      </w:r>
      <w:r>
        <w:rPr>
          <w:sz w:val="19"/>
        </w:rPr>
        <w:t>Dänemark, vergleichbares nordeuropäisches Gesundheitssystem</w:t>
      </w:r>
    </w:p>
    <w:p>
      <w:r>
        <w:rPr>
          <w:color w:val="5A7D3A"/>
          <w:sz w:val="18"/>
        </w:rPr>
        <w:t>https://pubmed.ncbi.nlm.nih.gov/42904583/</w:t>
      </w:r>
    </w:p>
    <w:p>
      <w:pPr>
        <w:pStyle w:val="Heading2"/>
      </w:pPr>
      <w:r>
        <w:t>Telecare für pflegende Angehörige: Sicherheitsempfinden stärker als technische Leistung</w:t>
      </w:r>
    </w:p>
    <w:p>
      <w:r>
        <w:rPr>
          <w:i/>
          <w:color w:val="666666"/>
          <w:sz w:val="18"/>
        </w:rPr>
        <w:t>Dolničar V et al.  ·  JMIR Aging  ·  20.10.2026  ·  PMID 42904387</w:t>
      </w:r>
    </w:p>
    <w:p>
      <w:r>
        <w:t>Querschnittstudie mit 526 pflegenden Angehörigen in Slowenien zu Annahmefaktoren von Telecare-Technologien im Licht des UTAUT-Modells, erweitert um wahrgenommene psychosoziale Outcomes (Sicherheitsgefühl, Angstreduktion, Bindung).</w:t>
      </w:r>
    </w:p>
    <w:p>
      <w:r>
        <w:rPr>
          <w:b/>
        </w:rPr>
        <w:t xml:space="preserve">Ergebnis: </w:t>
      </w:r>
      <w:r>
        <w:t>Wahrgenommene psychosoziale Outcomes (Sicherheit, Stressabbau) zeigten stärkste Assoziation mit Nutzungsintention (β = 0,41, p &lt; 0,001) und erklärten 54 % der Varianz (R² = 0,54). Leistungserwartung (β = 0,52, p &lt; 0,001), Facilitating Conditions (β = 0,11, p = 0,005) und soziale Einflüsse (β = 0,21, p &lt; 0,001) waren zusätzliche Prädiktoren. Psychosoziale Outcomes reduzierten Koeffizient der Leistungserwartung wesentlich.</w:t>
      </w:r>
    </w:p>
    <w:p>
      <w:r>
        <w:rPr>
          <w:b/>
          <w:sz w:val="19"/>
        </w:rPr>
        <w:t xml:space="preserve">Übertragbarkeit: </w:t>
      </w:r>
      <w:r>
        <w:rPr>
          <w:sz w:val="19"/>
        </w:rPr>
        <w:t>Slowenien, vergleichbare südeuropäische Versicherungslogik</w:t>
      </w:r>
    </w:p>
    <w:p>
      <w:r>
        <w:rPr>
          <w:color w:val="5A7D3A"/>
          <w:sz w:val="18"/>
        </w:rPr>
        <w:t>https://pubmed.ncbi.nlm.nih.gov/42904387/</w:t>
      </w:r>
    </w:p>
    <w:p>
      <w:pPr>
        <w:pStyle w:val="Heading1"/>
      </w:pPr>
      <w:r>
        <w:t>Aufgenommen am 22.10.2026</w:t>
      </w:r>
    </w:p>
    <w:p>
      <w:pPr>
        <w:pStyle w:val="Heading2"/>
      </w:pPr>
      <w:r>
        <w:t>Hospital-at-home in Dänemark: stabile Sicherheit, sinkende Wiederaufnahmen</w:t>
      </w:r>
    </w:p>
    <w:p>
      <w:r>
        <w:rPr>
          <w:i/>
          <w:color w:val="666666"/>
          <w:sz w:val="18"/>
        </w:rPr>
        <w:t>Hägi-Pedersen MB et al.  ·  BMC Health Serv Res  ·  24.07.2026  ·  PMID 42902350</w:t>
      </w:r>
    </w:p>
    <w:p>
      <w:r>
        <w:t>Registerstudie zu Sicherheit und Ergebnissen eines regionalen Hospital-at-home-Modells in Dänemark mit 2.511 Patienten.</w:t>
      </w:r>
    </w:p>
    <w:p>
      <w:r>
        <w:rPr>
          <w:b/>
        </w:rPr>
        <w:t xml:space="preserve">Ergebnis: </w:t>
      </w:r>
      <w:r>
        <w:t>Wiederaufnahmequoten sanken von 11,0 % (2022) auf 7,0 % (2024); Notfallkontakte blieben stabil (27,0–31,1 %); 30-Tage-Überleben konstant hoch (91,6–92,4 %). Behandlungsdauer stieg von 5,1 auf 7,3 Tage. Ergebnisse variierten nach Diagnose und Zuweisungsquelle; orthopädische und chronische Erkrankungen zeigten längere Aufenthalte.</w:t>
      </w:r>
    </w:p>
    <w:p>
      <w:r>
        <w:rPr>
          <w:b/>
          <w:sz w:val="19"/>
        </w:rPr>
        <w:t xml:space="preserve">Übertragbarkeit: </w:t>
      </w:r>
      <w:r>
        <w:rPr>
          <w:sz w:val="19"/>
        </w:rPr>
        <w:t>Dänemark, vergleichbare öffentliche Gesundheitssysteme, ambulante Strukturen in Deutschland adaptierbar.</w:t>
      </w:r>
    </w:p>
    <w:p>
      <w:r>
        <w:rPr>
          <w:color w:val="5A7D3A"/>
          <w:sz w:val="18"/>
        </w:rPr>
        <w:t>https://pubmed.ncbi.nlm.nih.gov/42902350/</w:t>
      </w:r>
    </w:p>
    <w:p>
      <w:pPr>
        <w:pStyle w:val="Heading2"/>
      </w:pPr>
      <w:r>
        <w:t>Outdoor-Umgebungen in Pflegeheimen: Chancen und Hürden</w:t>
      </w:r>
    </w:p>
    <w:p>
      <w:r>
        <w:rPr>
          <w:i/>
          <w:color w:val="666666"/>
          <w:sz w:val="18"/>
        </w:rPr>
        <w:t>Liljegren M et al.  ·  BMC Health Serv Res  ·  14.10.2026  ·  PMID 42902269</w:t>
      </w:r>
    </w:p>
    <w:p>
      <w:r>
        <w:t>Qualitative Studie mit Walking Interviews mit 11 älteren Bewohnern und Fokusgruppen mit Pflegekräften an 3 schwedischen Pflegeheimen zur Integration von Außenräumen in die Versorgung.</w:t>
      </w:r>
    </w:p>
    <w:p>
      <w:r>
        <w:rPr>
          <w:b/>
        </w:rPr>
        <w:t xml:space="preserve">Ergebnis: </w:t>
      </w:r>
      <w:r>
        <w:t>Alle vier Zonen (Innenräume mit Fenstern, Übergangszonen, Gärten, Umgebung) boten Chancen für Alltagsaktivitäten, soziale Kontakte, körperliche Aktivität und therapeutische Gespräche. Barriers waren physisch, saisonal, organisatorisch, informativ und sozial. Pflegekräfte nannten Zeitmangel, fehlendes Wissen und geringe organisatorische Unterstützung als Haupthindernisse.</w:t>
      </w:r>
    </w:p>
    <w:p>
      <w:r>
        <w:rPr>
          <w:b/>
          <w:sz w:val="19"/>
        </w:rPr>
        <w:t xml:space="preserve">Übertragbarkeit: </w:t>
      </w:r>
      <w:r>
        <w:rPr>
          <w:sz w:val="19"/>
        </w:rPr>
        <w:t>Schweden, Langzeitversorgung, Umweltdesign im deutschsprachigen Raum übertragbar.</w:t>
      </w:r>
    </w:p>
    <w:p>
      <w:r>
        <w:rPr>
          <w:color w:val="5A7D3A"/>
          <w:sz w:val="18"/>
        </w:rPr>
        <w:t>https://pubmed.ncbi.nlm.nih.gov/42902269/</w:t>
      </w:r>
    </w:p>
    <w:p>
      <w:pPr>
        <w:pStyle w:val="Heading2"/>
      </w:pPr>
      <w:r>
        <w:t>Lebensbejahtheit und Sterbewunsch in Pflegeheimen: was Bewohner verändern möchten</w:t>
      </w:r>
    </w:p>
    <w:p>
      <w:r>
        <w:rPr>
          <w:i/>
          <w:color w:val="666666"/>
          <w:sz w:val="18"/>
        </w:rPr>
        <w:t>Ruedin S et al.  ·  BMC Palliat Care  ·  25.07.2026  ·  PMID 42902220</w:t>
      </w:r>
    </w:p>
    <w:p>
      <w:r>
        <w:t>Befragung von 119 Pflegeheimbewohnern (≥70 Jahre) in der Schweiz zu Lebensbejahtheit und Sterbewunsch sowie deren Wünschen nach Unterstützung dieser Lebensbejahtheit.</w:t>
      </w:r>
    </w:p>
    <w:p>
      <w:r>
        <w:rPr>
          <w:b/>
        </w:rPr>
        <w:t xml:space="preserve">Ergebnis: </w:t>
      </w:r>
      <w:r>
        <w:t>Signifikante negative Korrelation zwischen Lebensbejahtheit und Sterbewunsch (r=−0,58; p=0,001). 49 % wünschten sich keine Interventionen, 39 % waren dafür offen. Unabhängig davon nannten die meisten: qualitätvolle Kontakte (wichtigster Faktor), Schmerzlinderung, personalisierte Aktivitäten, unterstützendes Personal, Möglichkeiten, anderen zu helfen, und innere Einstellungsänderungen.</w:t>
      </w:r>
    </w:p>
    <w:p>
      <w:r>
        <w:rPr>
          <w:b/>
          <w:sz w:val="19"/>
        </w:rPr>
        <w:t xml:space="preserve">Übertragbarkeit: </w:t>
      </w:r>
      <w:r>
        <w:rPr>
          <w:sz w:val="19"/>
        </w:rPr>
        <w:t>Schweiz, Pflegeheim-Versorgung, kulturell vergleichbar, Ansätze für Deutschland relevant.</w:t>
      </w:r>
    </w:p>
    <w:p>
      <w:r>
        <w:rPr>
          <w:color w:val="5A7D3A"/>
          <w:sz w:val="18"/>
        </w:rPr>
        <w:t>https://pubmed.ncbi.nlm.nih.gov/42902220/</w:t>
      </w:r>
    </w:p>
    <w:p>
      <w:pPr>
        <w:pStyle w:val="Heading2"/>
      </w:pPr>
      <w:r>
        <w:t>Pflegende Angehörige über 60: wie Belastung Depression fördert</w:t>
      </w:r>
    </w:p>
    <w:p>
      <w:r>
        <w:rPr>
          <w:i/>
          <w:color w:val="666666"/>
          <w:sz w:val="18"/>
        </w:rPr>
        <w:t>Chaaya M et al.  ·  BMC Geriatr  ·  22.07.2026  ·  PMID 42902165</w:t>
      </w:r>
    </w:p>
    <w:p>
      <w:r>
        <w:t>Querschnittsstudie mit 434 älteren pflegenden Angehörigen (≥60 Jahre) im Libanon zu Belastung, Depressionen und Angst sowie moderierenden Effekten sozialer und finanzieller Ressourcen.</w:t>
      </w:r>
    </w:p>
    <w:p>
      <w:r>
        <w:rPr>
          <w:b/>
        </w:rPr>
        <w:t xml:space="preserve">Ergebnis: </w:t>
      </w:r>
      <w:r>
        <w:t>36,4 % hatten hohe Pflegebelastung. Hohe Belastung korrelierte mit Depression (7,65 Punkte höhere Scores; 95%-KI: 3,48–11,8) und Angst (2,84 Punkte höher; 95%-KI: 0,73–4,95). Emotionale Unterstützung reduzierte den Zusammenhang zwischen Belastung und Depression signifikant. Finanzielle Ressourcen hatten keinen moderierenden Effekt.</w:t>
      </w:r>
    </w:p>
    <w:p>
      <w:r>
        <w:rPr>
          <w:b/>
          <w:sz w:val="19"/>
        </w:rPr>
        <w:t xml:space="preserve">Übertragbarkeit: </w:t>
      </w:r>
      <w:r>
        <w:rPr>
          <w:sz w:val="19"/>
        </w:rPr>
        <w:t>Libanon, teils andere Versorgungsstrukturen, Befunde zu psychosozialen Risiken sind übertragbar.</w:t>
      </w:r>
    </w:p>
    <w:p>
      <w:r>
        <w:rPr>
          <w:color w:val="5A7D3A"/>
          <w:sz w:val="18"/>
        </w:rPr>
        <w:t>https://pubmed.ncbi.nlm.nih.gov/42902165/</w:t>
      </w:r>
    </w:p>
    <w:p>
      <w:pPr>
        <w:pStyle w:val="Heading2"/>
      </w:pPr>
      <w:r>
        <w:t>Familiale Resilienz bei Demenzpflege in China: Durchhaltevermögen statt Bewältigung</w:t>
      </w:r>
    </w:p>
    <w:p>
      <w:r>
        <w:rPr>
          <w:i/>
          <w:color w:val="666666"/>
          <w:sz w:val="18"/>
        </w:rPr>
        <w:t>Jiang D et al.  ·  Soc Sci Med  ·  13.06.2026  ·  PMID 42901680</w:t>
      </w:r>
    </w:p>
    <w:p>
      <w:r>
        <w:t>Konstruktivistische Grounded-Theory-Studie mit 36 Teilnehmern aus 21 chinesischen Familien zur Resilienz von Familieneinheiten in der Demenzbetreuung.</w:t>
      </w:r>
    </w:p>
    <w:p>
      <w:r>
        <w:rPr>
          <w:b/>
        </w:rPr>
        <w:t xml:space="preserve">Ergebnis: </w:t>
      </w:r>
      <w:r>
        <w:t>Theorie der pragmatischen Familienresilienz mit drei Komponenten: (1) Motivational Core aus filialprägter Verpflichtung und emotionalen Bindungen, (2) adaptive Architektur mit Logiken wie Ressourcenschonung, (3) praktische Strategien wie beharrliche Ausdauer (áo) und Akzeptanz von Grenzen. Paradigmenwechsel von ‚Burden-Management' zu nachhaltiger Ausdauer und familienzentrierter Unterstützung.</w:t>
      </w:r>
    </w:p>
    <w:p>
      <w:r>
        <w:rPr>
          <w:b/>
          <w:sz w:val="19"/>
        </w:rPr>
        <w:t xml:space="preserve">Übertragbarkeit: </w:t>
      </w:r>
      <w:r>
        <w:rPr>
          <w:sz w:val="19"/>
        </w:rPr>
        <w:t>China, kollektivistische Kultur; Befunde zur Familienstruktur zeigen kulturelle Unterschiede zu Deutschland.</w:t>
      </w:r>
    </w:p>
    <w:p>
      <w:r>
        <w:rPr>
          <w:color w:val="5A7D3A"/>
          <w:sz w:val="18"/>
        </w:rPr>
        <w:t>https://pubmed.ncbi.nlm.nih.gov/42901680/</w:t>
      </w:r>
    </w:p>
    <w:p>
      <w:pPr>
        <w:pStyle w:val="Heading2"/>
      </w:pPr>
      <w:r>
        <w:t>Ambulante Pflege-Intermediärklinik: weniger Notfallaufnahmen, keine Reduktion von Einweisungen</w:t>
      </w:r>
    </w:p>
    <w:p>
      <w:r>
        <w:rPr>
          <w:i/>
          <w:color w:val="666666"/>
          <w:sz w:val="18"/>
        </w:rPr>
        <w:t>Lee SY et al.  ·  West J Emerg Med  ·  05.09.2026  ·  PMID 42900934</w:t>
      </w:r>
    </w:p>
    <w:p>
      <w:r>
        <w:t>Retrospektive Kohortenstudie mit 2.698 Terminen (Durchschnittsalter 51,5 Jahre) an einer US-Akademie zur Wirksamkeit einer Nurse-Led Intermediate Care Clinic (AICC) auf Notfallaufnahmen und Krankenhauseinweisungen.</w:t>
      </w:r>
    </w:p>
    <w:p>
      <w:r>
        <w:rPr>
          <w:b/>
        </w:rPr>
        <w:t xml:space="preserve">Ergebnis: </w:t>
      </w:r>
      <w:r>
        <w:t>Patienten mit AICC-Besuch: ED-Besuchsrate 10,5 % gegenüber Fehlern 15,2 % (Risikodifferenz 4,75 %; 95%-KI: 0,56–8,93 %; p=0,03). Odds Ratio für ED-Besuch bei Fehltermin 1,54 (95%-KI: 1,07–2,21; p=0,02). Krankenhauseinweisungsraten 47,3 % vs. 53,4 % (p=0,04), aber keine signifikante Assoziation mit Fehltermin (OR 1,28; p=0,05).</w:t>
      </w:r>
    </w:p>
    <w:p>
      <w:r>
        <w:rPr>
          <w:b/>
          <w:sz w:val="19"/>
        </w:rPr>
        <w:t xml:space="preserve">Übertragbarkeit: </w:t>
      </w:r>
      <w:r>
        <w:rPr>
          <w:sz w:val="19"/>
        </w:rPr>
        <w:t>USA, vergleichbare Notfallversorgung, Intermediate-Care-Ansatz auf Deutschland übertragbar.</w:t>
      </w:r>
    </w:p>
    <w:p>
      <w:r>
        <w:rPr>
          <w:color w:val="5A7D3A"/>
          <w:sz w:val="18"/>
        </w:rPr>
        <w:t>https://pubmed.ncbi.nlm.nih.gov/42900934/</w:t>
      </w:r>
    </w:p>
    <w:p>
      <w:pPr>
        <w:pStyle w:val="Heading1"/>
      </w:pPr>
      <w:r>
        <w:t>Aufgenommen am 21.10.2026</w:t>
      </w:r>
    </w:p>
    <w:p>
      <w:pPr>
        <w:pStyle w:val="Heading2"/>
      </w:pPr>
      <w:r>
        <w:t>Nachschlag bei pflegenden Angehörigen nach Schlaganfall: Dokumentation und Lücken im stationären Kurzrehab</w:t>
      </w:r>
    </w:p>
    <w:p>
      <w:r>
        <w:rPr>
          <w:i/>
          <w:color w:val="666666"/>
          <w:sz w:val="18"/>
        </w:rPr>
        <w:t>McCarthy M et al.  ·  J Eval Clin Pract  ·  Okt. 2026  ·  PMID 42900752</w:t>
      </w:r>
    </w:p>
    <w:p>
      <w:r>
        <w:t>Retrospektive klinische Audit von 109 Schlaganfall-Aufnahmen auf einer subakuten neurogeriatrischen Station in Australien zur Dokumentation von Angehörigen-Edukation und -Training (CGET) durch multidisziplinäres Team.</w:t>
      </w:r>
    </w:p>
    <w:p>
      <w:r>
        <w:rPr>
          <w:b/>
        </w:rPr>
        <w:t xml:space="preserve">Ergebnis: </w:t>
      </w:r>
      <w:r>
        <w:t>1.398 dokumentierte CGET-Episoden identifiziert. Sozialarbeit (79,9 %) und Ergotherapie (77,1 %) dokumentierten konsistenter; Pflegepersonal nur minimal über alle Domänen hinweg, besonders Kontinenzmanagement unterrepräsentiert. CGET signifikant häufiger bei Kognitiven Einschränkungen dokumentiert, aber nur 10,7 % der 28 Patienten mit Gedächtnisstörungen erhielten Gedächtnistrainings-Dokumentation. Inkonsistente Praxis über Mobilitäts-, ADL- und kognitiven Domänen.</w:t>
      </w:r>
    </w:p>
    <w:p>
      <w:r>
        <w:rPr>
          <w:b/>
          <w:sz w:val="19"/>
        </w:rPr>
        <w:t xml:space="preserve">Übertragbarkeit: </w:t>
      </w:r>
      <w:r>
        <w:rPr>
          <w:sz w:val="19"/>
        </w:rPr>
        <w:t>Australien, ähnliche Fachteam-Struktur; Befund der Dokumentationslücken bei Pflege universal relevant.</w:t>
      </w:r>
    </w:p>
    <w:p>
      <w:r>
        <w:rPr>
          <w:color w:val="5A7D3A"/>
          <w:sz w:val="18"/>
        </w:rPr>
        <w:t>https://pubmed.ncbi.nlm.nih.gov/42900752/</w:t>
      </w:r>
    </w:p>
    <w:p>
      <w:pPr>
        <w:pStyle w:val="Heading2"/>
      </w:pPr>
      <w:r>
        <w:t>Berufliche Autonomie und Austrittswunsch: Was Hebammen in Spanien zum Verlassen bewegt</w:t>
      </w:r>
    </w:p>
    <w:p>
      <w:r>
        <w:rPr>
          <w:i/>
          <w:color w:val="666666"/>
          <w:sz w:val="18"/>
        </w:rPr>
        <w:t>Zaida RP et al.  ·  J Nurs Manag  ·  2026  ·  PMID 42899503</w:t>
      </w:r>
    </w:p>
    <w:p>
      <w:r>
        <w:t>Qualitative Fokusgruppenarbeit (21 Hebammen, 4 Diskussionsgruppen, Oktober 2024) zu Ursachen von Burnout und Ausgebot unter spanischen Hebammen.</w:t>
      </w:r>
    </w:p>
    <w:p>
      <w:r>
        <w:rPr>
          <w:b/>
        </w:rPr>
        <w:t xml:space="preserve">Ergebnis: </w:t>
      </w:r>
      <w:r>
        <w:t>66,7 % Frauen, 61,9 % Krankenhausfachbereich. Hauptgründe: Autonomieverlust, Übermedikalisierung der Geburt, Konflikte mit Gynäkologen, traumatische perinatale Ereignisse, fehlende Managementbeteiligung, Arbeitsbedingungen. Lösungen: mehr Autonomie, Kompetenzanerkennung, unabhängige Studiengänge, Professionalisierung. Burnout führt zu Demotivation, Angst, Frustration und Ausscheiden.</w:t>
      </w:r>
    </w:p>
    <w:p>
      <w:r>
        <w:rPr>
          <w:b/>
          <w:sz w:val="19"/>
        </w:rPr>
        <w:t xml:space="preserve">Übertragbarkeit: </w:t>
      </w:r>
      <w:r>
        <w:rPr>
          <w:sz w:val="19"/>
        </w:rPr>
        <w:t>Spanisches Versicherungssystem, andere Organisationskultur; Faktor Autonomie-Verlust international relevant.</w:t>
      </w:r>
    </w:p>
    <w:p>
      <w:r>
        <w:rPr>
          <w:color w:val="5A7D3A"/>
          <w:sz w:val="18"/>
        </w:rPr>
        <w:t>https://pubmed.ncbi.nlm.nih.gov/42899503/</w:t>
      </w:r>
    </w:p>
    <w:p>
      <w:pPr>
        <w:pStyle w:val="Heading2"/>
      </w:pPr>
      <w:r>
        <w:t>Pflegende im häuslichen Dienst: Wie Ressourcen den Stress unter Belastung puffern</w:t>
      </w:r>
    </w:p>
    <w:p>
      <w:r>
        <w:rPr>
          <w:i/>
          <w:color w:val="666666"/>
          <w:sz w:val="18"/>
        </w:rPr>
        <w:t>Xiong J et al.  ·  Nurs Open  ·  Okt. 2026  ·  PMID 42897743</w:t>
      </w:r>
    </w:p>
    <w:p>
      <w:r>
        <w:t>Querschnittsstudie mit 434 Hauskrankenpfleger (März–Juni 2024, 13 öffentliche Kliniken und Gemeindezentren, China) zu Jobbelastung, -ressourcen und Jobstress sowie Moderationseffekt von Ressourcen.</w:t>
      </w:r>
    </w:p>
    <w:p>
      <w:r>
        <w:rPr>
          <w:b/>
        </w:rPr>
        <w:t xml:space="preserve">Ergebnis: </w:t>
      </w:r>
      <w:r>
        <w:t>Durchschnittlicher Jobstress-Wert 1,73 ± 0,35 (relativ niedrig auf der Skala). Positive Korrelation: Jobbelastung–Stress; negative Korrelation: Ressourcen–Stress. Interaktion (Jobbelastung × Ressourcen) signifikant für Stress (B = −0,036, 95% CI [−0,058, −0,013], p = 0,002), erklärt zusätzlich 1,1 % Varianz. Stress signifikant höher bei häufigen Homevisits/Woche, physischen Bedrohungen, Alleineinsatz.</w:t>
      </w:r>
    </w:p>
    <w:p>
      <w:r>
        <w:rPr>
          <w:b/>
          <w:sz w:val="19"/>
        </w:rPr>
        <w:t xml:space="preserve">Übertragbarkeit: </w:t>
      </w:r>
      <w:r>
        <w:rPr>
          <w:sz w:val="19"/>
        </w:rPr>
        <w:t>China; Prinzip der Ressourcen-Moderation universell, Home-Nursing-Struktur teilweise übertragbar.</w:t>
      </w:r>
    </w:p>
    <w:p>
      <w:r>
        <w:rPr>
          <w:color w:val="5A7D3A"/>
          <w:sz w:val="18"/>
        </w:rPr>
        <w:t>https://pubmed.ncbi.nlm.nih.gov/42897743/</w:t>
      </w:r>
    </w:p>
    <w:p>
      <w:pPr>
        <w:pStyle w:val="Heading2"/>
      </w:pPr>
      <w:r>
        <w:t>Wartelisten in der Langzeitpflege verschärfen Krankenhausaufenthalte: Simulation zur Bettenallokation</w:t>
      </w:r>
    </w:p>
    <w:p>
      <w:r>
        <w:rPr>
          <w:i/>
          <w:color w:val="666666"/>
          <w:sz w:val="18"/>
        </w:rPr>
        <w:t>Aydemir I et al.  ·  BMC Health Serv Res  ·  22.07.2026  ·  PMID 42897634</w:t>
      </w:r>
    </w:p>
    <w:p>
      <w:r>
        <w:t>Simulationsstudie zur Frage, wie dezentralisierte versus zentralisierte Bettenallokation in Pflegeheimen (Niederlande) Wartezeiten und die Inanspruchnahme von Kurzzeitpflege beeinflusst.</w:t>
      </w:r>
    </w:p>
    <w:p>
      <w:r>
        <w:rPr>
          <w:b/>
        </w:rPr>
        <w:t xml:space="preserve">Ergebnis: </w:t>
      </w:r>
      <w:r>
        <w:t>Eine zentralisierte Bettenallokationspolitik reduzierte die Wartezeiten von 336 auf 35 Tage und sank die Quote der Kurzzeitpflege-Aufnahmen von 45 % auf 4,5 %. Bei hoher Nachfragevarianz zwischen Einrichtungen waren die Reduktionen noch größer.</w:t>
      </w:r>
    </w:p>
    <w:p>
      <w:r>
        <w:rPr>
          <w:b/>
          <w:sz w:val="19"/>
        </w:rPr>
        <w:t xml:space="preserve">Übertragbarkeit: </w:t>
      </w:r>
      <w:r>
        <w:rPr>
          <w:sz w:val="19"/>
        </w:rPr>
        <w:t>Niederlande mit Pflegeversicherungssystem und Bettenstruktur vergleichbar Deutschland.</w:t>
      </w:r>
    </w:p>
    <w:p>
      <w:r>
        <w:rPr>
          <w:color w:val="5A7D3A"/>
          <w:sz w:val="18"/>
        </w:rPr>
        <w:t>https://pubmed.ncbi.nlm.nih.gov/42897634/</w:t>
      </w:r>
    </w:p>
    <w:p>
      <w:pPr>
        <w:pStyle w:val="Heading2"/>
      </w:pPr>
      <w:r>
        <w:t>Was Palliativversorgung für Menschen mit fortgeschrittener COPD und Angehörige leistet</w:t>
      </w:r>
    </w:p>
    <w:p>
      <w:r>
        <w:rPr>
          <w:i/>
          <w:color w:val="666666"/>
          <w:sz w:val="18"/>
        </w:rPr>
        <w:t>Schmidt-Stiedenroth K et al.  ·  BMC Pulm Med  ·  19.10.2026  ·  PMID 42897575</w:t>
      </w:r>
    </w:p>
    <w:p>
      <w:r>
        <w:t>Qualitative Multigruppen-Studie (53 Interviews mit Patienten, pflegenden Angehörigen und Fachkräften) in Deutschland über unmet needs bei fortgeschrittener COPD und wie Palliativversorgung diese adressiert.</w:t>
      </w:r>
    </w:p>
    <w:p>
      <w:r>
        <w:rPr>
          <w:b/>
        </w:rPr>
        <w:t xml:space="preserve">Ergebnis: </w:t>
      </w:r>
      <w:r>
        <w:t>Zentrale Bedarfe: Dyspnoe- und Angstmanagement, Heimpflege, Notfallplanung, psychosoziale Unterstützung, organisatorische Hilfe, Information über Krankheitsverlauf und Palliativversorgung. Personen, die Palliativversorgung erhielten, berichteten Bedarf-Deckung in fünf Bereichen; Timing der Information war kritisch für Akzeptanz.</w:t>
      </w:r>
    </w:p>
    <w:p>
      <w:r>
        <w:rPr>
          <w:b/>
          <w:sz w:val="19"/>
        </w:rPr>
        <w:t xml:space="preserve">Übertragbarkeit: </w:t>
      </w:r>
      <w:r>
        <w:rPr>
          <w:sz w:val="19"/>
        </w:rPr>
        <w:t>Deutsche Studie in deutschen Versorgungsstrukturen.</w:t>
      </w:r>
    </w:p>
    <w:p>
      <w:r>
        <w:rPr>
          <w:color w:val="5A7D3A"/>
          <w:sz w:val="18"/>
        </w:rPr>
        <w:t>https://pubmed.ncbi.nlm.nih.gov/42897575/</w:t>
      </w:r>
    </w:p>
    <w:p>
      <w:pPr>
        <w:pStyle w:val="Heading2"/>
      </w:pPr>
      <w:r>
        <w:t>Motivation und Resilienz: Wie Pflegende in Grönland unter Ressourcenmangel arbeiten</w:t>
      </w:r>
    </w:p>
    <w:p>
      <w:r>
        <w:rPr>
          <w:i/>
          <w:color w:val="666666"/>
          <w:sz w:val="18"/>
        </w:rPr>
        <w:t>Jensen CJ et al.  ·  Int J Circumpolar Health  ·  31.12.2026  ·  PMID 42892307</w:t>
      </w:r>
    </w:p>
    <w:p>
      <w:r>
        <w:t>Ethnographische Feldforschung mit Beobachtung und Interviews in fünf Regionen Grönlands über Strategien, mit denen Pflegende trotz Personalknappheit und limitierten Ressourcen gute Versorgung leisten und motiviert bleiben.</w:t>
      </w:r>
    </w:p>
    <w:p>
      <w:r>
        <w:rPr>
          <w:b/>
        </w:rPr>
        <w:t xml:space="preserve">Ergebnis: </w:t>
      </w:r>
      <w:r>
        <w:t>Pflegende halten ihre Praxis durch patientenzentrierte Werte, Gemeinschaftsresilienz (Zusammenarbeit, Humor), improvisative Fähigkeiten und Verantwortung für Gesellschaft aufrecht. Gemeinsame Leidenschaft für Patienten war zentral; Beziehungen und kreatives Problemlösen kompensieren strukturelle Engpässe.</w:t>
      </w:r>
    </w:p>
    <w:p>
      <w:r>
        <w:rPr>
          <w:b/>
          <w:sz w:val="19"/>
        </w:rPr>
        <w:t xml:space="preserve">Übertragbarkeit: </w:t>
      </w:r>
      <w:r>
        <w:rPr>
          <w:sz w:val="19"/>
        </w:rPr>
        <w:t>Arktisches Setting mit extremem Personalknappheit; Motivationsfaktoren übertragbar auf unterbelegte Systeme.</w:t>
      </w:r>
    </w:p>
    <w:p>
      <w:r>
        <w:rPr>
          <w:color w:val="5A7D3A"/>
          <w:sz w:val="18"/>
        </w:rPr>
        <w:t>https://pubmed.ncbi.nlm.nih.gov/42892307/</w:t>
      </w:r>
    </w:p>
    <w:p>
      <w:pPr>
        <w:pStyle w:val="Heading2"/>
      </w:pPr>
      <w:r>
        <w:t>Freiberufliche Kinderkrankenpflege in Frankreich: Prävention und Elternunterstützung zwischen Angebot und Finanzierungslücke</w:t>
      </w:r>
    </w:p>
    <w:p>
      <w:r>
        <w:rPr>
          <w:i/>
          <w:color w:val="666666"/>
          <w:sz w:val="18"/>
        </w:rPr>
        <w:t>Collombier M et al.  ·  Sante Publique  ·  2026  ·  PMID 42838889</w:t>
      </w:r>
    </w:p>
    <w:p>
      <w:r>
        <w:t>Nationale Beschreibungsstudie (2024, Online-Fragebogen) zu beruflicher Praxis, Rollen und Versorgungsbeitrag freiberuflich tätiger Kinderkrankenpfleger (Infirmières Puéricultrices) in Frankreich.</w:t>
      </w:r>
    </w:p>
    <w:p>
      <w:r>
        <w:rPr>
          <w:b/>
        </w:rPr>
        <w:t xml:space="preserve">Ergebnis: </w:t>
      </w:r>
      <w:r>
        <w:t>Überwiegend erfahrene Fachkräfte, fokus auf Prävention und Gesundheitserziehung bei Kindern 0–6 Jahre und Familien. Leistungen: Einzelkonsultationen, innovative Formate (Gruppenworkshops, ‚Elternkreise' für Erfahrungsaustausch und Empowerment). Psychosoziale Unterstützung und Elternbegleitung zentral, technische Pflege marginal. Hauptmotivation: Autonomie und Schließung von Versorgungslücken. Barriere: fehlende Krankenversicherungsfinanzierung.</w:t>
      </w:r>
    </w:p>
    <w:p>
      <w:r>
        <w:rPr>
          <w:b/>
          <w:sz w:val="19"/>
        </w:rPr>
        <w:t xml:space="preserve">Übertragbarkeit: </w:t>
      </w:r>
      <w:r>
        <w:rPr>
          <w:sz w:val="19"/>
        </w:rPr>
        <w:t>Frankreich mit anderen Versicherungs- und Berufsstrukturen; Modell der freien Praxis nicht deutsches Kernsystem.</w:t>
      </w:r>
    </w:p>
    <w:p>
      <w:r>
        <w:rPr>
          <w:color w:val="5A7D3A"/>
          <w:sz w:val="18"/>
        </w:rPr>
        <w:t>https://pubmed.ncbi.nlm.nih.gov/42838889/</w:t>
      </w:r>
    </w:p>
    <w:p>
      <w:pPr>
        <w:pStyle w:val="Heading1"/>
      </w:pPr>
      <w:r>
        <w:t>Aufgenommen am 20.10.2026</w:t>
      </w:r>
    </w:p>
    <w:p>
      <w:pPr>
        <w:pStyle w:val="Heading2"/>
      </w:pPr>
      <w:r>
        <w:t>Rehabilitations-Interventionen bei Schluckstörung nach Schlaganfall: Netzwerk-Metaanalyse</w:t>
      </w:r>
    </w:p>
    <w:p>
      <w:r>
        <w:rPr>
          <w:i/>
          <w:color w:val="666666"/>
          <w:sz w:val="18"/>
        </w:rPr>
        <w:t>Lai R et al.  ·  Jpn J Nurs Sci  ·  Okt. 2026  ·  PMID 42896962</w:t>
      </w:r>
    </w:p>
    <w:p>
      <w:r>
        <w:t>Netzwerk-Metaanalyse von 17 RCTs zu Effektivität von in Pflegeleistung integrierten Rehabilitationsinterventionen bei Schluckfunktion und -sicherheit nach Schlaganfall.</w:t>
      </w:r>
    </w:p>
    <w:p>
      <w:r>
        <w:rPr>
          <w:b/>
        </w:rPr>
        <w:t xml:space="preserve">Ergebnis: </w:t>
      </w:r>
      <w:r>
        <w:t>Rehabilitations-Pflegemaßnahmen übertroffen konventionelle Versorgung bei Verbesserung der Functional Oral Intake Scale (FOIS), Penetration-Aspiration Scale (PAS) und Videofluoroscopic Dysphagia Scale. Für FOIS: Kinesiologie-Tape kombiniert mit neuromuskulärer Elektrostimulation (SUCRA 78,7 %) und Atemmuskulatur-Training (SUCRA 78,1 %) rangiert höchst. Für PAS: kombinierte Tape+Elektrostimulation (SUCRA 95,9 %) und Tape allein (SUCRA 84,1 %) zeigten beste Rankings.</w:t>
      </w:r>
    </w:p>
    <w:p>
      <w:r>
        <w:rPr>
          <w:b/>
          <w:sz w:val="19"/>
        </w:rPr>
        <w:t xml:space="preserve">Übertragbarkeit: </w:t>
      </w:r>
      <w:r>
        <w:rPr>
          <w:sz w:val="19"/>
        </w:rPr>
        <w:t>Asien/international Systemreview; Interventionen physiotherapeutisch-pflegeintegr., auf Deutschland übertragbar</w:t>
      </w:r>
    </w:p>
    <w:p>
      <w:r>
        <w:rPr>
          <w:color w:val="5A7D3A"/>
          <w:sz w:val="18"/>
        </w:rPr>
        <w:t>https://pubmed.ncbi.nlm.nih.gov/42896962/</w:t>
      </w:r>
    </w:p>
    <w:p>
      <w:pPr>
        <w:pStyle w:val="Heading2"/>
      </w:pPr>
      <w:r>
        <w:t>Telehealth für Stoma-Versorgung: was Patienten berichten</w:t>
      </w:r>
    </w:p>
    <w:p>
      <w:r>
        <w:rPr>
          <w:i/>
          <w:color w:val="666666"/>
          <w:sz w:val="18"/>
        </w:rPr>
        <w:t>Korkmaz E et al.  ·  Nurs Open  ·  Okt. 2026  ·  PMID 42896164</w:t>
      </w:r>
    </w:p>
    <w:p>
      <w:r>
        <w:t>Qualitative Studie mit sieben Patienten mit Stoma, die Telehealth-Unterstützung von Pflegekräften erhielten, zu deren Erfahrungen mit Produktmanagement und remote Beratung.</w:t>
      </w:r>
    </w:p>
    <w:p>
      <w:r>
        <w:rPr>
          <w:b/>
        </w:rPr>
        <w:t xml:space="preserve">Ergebnis: </w:t>
      </w:r>
      <w:r>
        <w:t>Patienten beschrieben Telehealth-Anleitung als praktisch, zeitnah und personalisiert. Sie halfen bei Lecks, Hautirritation und Produktwahl. Patienten berichteten weniger Krankenhausbesuche, Sicherheitsgefühl und Erleichterung. Telehealth war ihre primäre vertraute Informationsquelle, obwohl manche auch Ärzte oder Internet befragten.</w:t>
      </w:r>
    </w:p>
    <w:p>
      <w:r>
        <w:rPr>
          <w:b/>
          <w:sz w:val="19"/>
        </w:rPr>
        <w:t xml:space="preserve">Übertragbarkeit: </w:t>
      </w:r>
      <w:r>
        <w:rPr>
          <w:sz w:val="19"/>
        </w:rPr>
        <w:t>Türkei, private Versorgung; Ansatz übertragbar auf strukturierte Telehealth-Protokolle</w:t>
      </w:r>
    </w:p>
    <w:p>
      <w:r>
        <w:rPr>
          <w:color w:val="5A7D3A"/>
          <w:sz w:val="18"/>
        </w:rPr>
        <w:t>https://pubmed.ncbi.nlm.nih.gov/42896164/</w:t>
      </w:r>
    </w:p>
    <w:p>
      <w:pPr>
        <w:pStyle w:val="Heading2"/>
      </w:pPr>
      <w:r>
        <w:t>Vorausschauende Versorgungsplanung bei Menschen mit Behinderung: Wissen und Kommunikation</w:t>
      </w:r>
    </w:p>
    <w:p>
      <w:r>
        <w:rPr>
          <w:i/>
          <w:color w:val="666666"/>
          <w:sz w:val="18"/>
        </w:rPr>
        <w:t>De Grim M et al.  ·  Eur J Gen Pract  ·  19.10.2026  ·  PMID 42895908</w:t>
      </w:r>
    </w:p>
    <w:p>
      <w:r>
        <w:t>Qualitative Studie mit Hausärzten und Angehörigen in Belgien zur Erfahrung von Vorausschauender Versorgungsplanung bei Erwachsenen mit moderater bis schwerer Intelligenzminderung.</w:t>
      </w:r>
    </w:p>
    <w:p>
      <w:r>
        <w:rPr>
          <w:b/>
        </w:rPr>
        <w:t xml:space="preserve">Ergebnis: </w:t>
      </w:r>
      <w:r>
        <w:t>Sechs Hausärzte und fünf Angehörige berichteten von Wissenslücken zur Vorausschauenden Versorgungsplanung, Kommunikationshindernissen und Unsicherheit beim Zeitpunkt. Beide Gruppen wünschten sich frühere, breitere Gespräche über Versorgungsziele und persönliche Werte statt nur über Reanimationsverzicht. Trotz Herausforderungen erlebten Teilnehmende solche Gespräche als hilfreich und beruhigend.</w:t>
      </w:r>
    </w:p>
    <w:p>
      <w:r>
        <w:rPr>
          <w:b/>
          <w:sz w:val="19"/>
        </w:rPr>
        <w:t xml:space="preserve">Übertragbarkeit: </w:t>
      </w:r>
      <w:r>
        <w:rPr>
          <w:sz w:val="19"/>
        </w:rPr>
        <w:t>Belgien, Hausarztpraxis, qualitativ; vergleichbar mit deutschem Primärversorgungssystem</w:t>
      </w:r>
    </w:p>
    <w:p>
      <w:r>
        <w:rPr>
          <w:color w:val="5A7D3A"/>
          <w:sz w:val="18"/>
        </w:rPr>
        <w:t>https://pubmed.ncbi.nlm.nih.gov/42895908/</w:t>
      </w:r>
    </w:p>
    <w:p>
      <w:pPr>
        <w:pStyle w:val="Heading2"/>
      </w:pPr>
      <w:r>
        <w:t>Schulung zu Frühwarn-Scores in Pädiatrie: wie Pflegekräfte Verschlechterung erkennen</w:t>
      </w:r>
    </w:p>
    <w:p>
      <w:r>
        <w:rPr>
          <w:i/>
          <w:color w:val="666666"/>
          <w:sz w:val="18"/>
        </w:rPr>
        <w:t>Hafez Elsayed ZE et al.  ·  J Nurs Manag  ·  2026  ·  PMID 42894480</w:t>
      </w:r>
    </w:p>
    <w:p>
      <w:r>
        <w:t>Quasi-experimentelle Studie mit 114 pädiatrischen Pflegekräften in Ägypten zum Effekt eines strukturierten Trainings zu Pädiatrischem Frühwarnsystem auf Wissen und klinische Leistung.</w:t>
      </w:r>
    </w:p>
    <w:p>
      <w:r>
        <w:rPr>
          <w:b/>
        </w:rPr>
        <w:t xml:space="preserve">Ergebnis: </w:t>
      </w:r>
      <w:r>
        <w:t>Unmittelbar nach Intervention erreichten 94,7 % der Interventionsgruppe vs. 24,6 % der Kontrollgruppe hohes Wissensniveau (p &lt; 0,001); zufriedenstellende klinische Leistung zeigte sich bei 91,2 % vs. 22,8 % (p &lt; 0,001). Bei Follow-up blieben die Unterschiede bestehen: 87,7 % vs. 10,5 % Wissen (p &lt; 0,001), 87,7 % vs. 19,3 % Leistung (p &lt; 0,001). Wissen und Leistung korrelierten positiv.</w:t>
      </w:r>
    </w:p>
    <w:p>
      <w:r>
        <w:rPr>
          <w:b/>
          <w:sz w:val="19"/>
        </w:rPr>
        <w:t xml:space="preserve">Übertragbarkeit: </w:t>
      </w:r>
      <w:r>
        <w:rPr>
          <w:sz w:val="19"/>
        </w:rPr>
        <w:t>Ägypten, akutstationäre Pädiatrie; methodisch übertragbar, länderspezifische Strukturen beachten</w:t>
      </w:r>
    </w:p>
    <w:p>
      <w:r>
        <w:rPr>
          <w:color w:val="5A7D3A"/>
          <w:sz w:val="18"/>
        </w:rPr>
        <w:t>https://pubmed.ncbi.nlm.nih.gov/42894480/</w:t>
      </w:r>
    </w:p>
    <w:p>
      <w:pPr>
        <w:pStyle w:val="Heading2"/>
      </w:pPr>
      <w:r>
        <w:t>Aufgabenverteilung unter Hochlast: wie Pflegekräfte Gerechtigkeit erleben</w:t>
      </w:r>
    </w:p>
    <w:p>
      <w:r>
        <w:rPr>
          <w:i/>
          <w:color w:val="666666"/>
          <w:sz w:val="18"/>
        </w:rPr>
        <w:t>Cao Y et al.  ·  J Nurs Manag  ·  2026  ·  PMID 42894391</w:t>
      </w:r>
    </w:p>
    <w:p>
      <w:r>
        <w:t>Qualitative Studie mit 27 Pflegekräften (24 Fachkräfte, 3 Stationsleitungen) aus sieben chinesischen Kliniken zur Erfahrung von Gerechtigkeit bei der Aufgabenverteilung unter Hochlastbedingungen.</w:t>
      </w:r>
    </w:p>
    <w:p>
      <w:r>
        <w:rPr>
          <w:b/>
        </w:rPr>
        <w:t xml:space="preserve">Ergebnis: </w:t>
      </w:r>
      <w:r>
        <w:t>Sechs Themen zeigten, dass Pflegekräfte Gerechtigkeit an Lastverteilung, verfügbarem Personal und Verhältnis Anstrengung-Anerkennung bewerteten. Sie berichteten von reduzierter Pflege unter Zeitdruck, Gewissenskonflikten und emotionaler Belastung. Sie wünschten sich aufwandbasierte Zuweisung, flexible Unterstützung bei Spitzenlast und transparente Rotation – fürchteten aber weitere Laststeigerungen und unzureichende Ressourcen.</w:t>
      </w:r>
    </w:p>
    <w:p>
      <w:r>
        <w:rPr>
          <w:b/>
          <w:sz w:val="19"/>
        </w:rPr>
        <w:t xml:space="preserve">Übertragbarkeit: </w:t>
      </w:r>
      <w:r>
        <w:rPr>
          <w:sz w:val="19"/>
        </w:rPr>
        <w:t>China, Akutkliniken; qualitativ, zeigt Belastungsmuster übertragbar auf Personalbemessungsdiskurs</w:t>
      </w:r>
    </w:p>
    <w:p>
      <w:r>
        <w:rPr>
          <w:color w:val="5A7D3A"/>
          <w:sz w:val="18"/>
        </w:rPr>
        <w:t>https://pubmed.ncbi.nlm.nih.gov/42894391/</w:t>
      </w:r>
    </w:p>
    <w:p>
      <w:pPr>
        <w:pStyle w:val="Heading2"/>
      </w:pPr>
      <w:r>
        <w:t>Digitale Schulung zu Versorgungsplanung in Pflegeheimen: was Studierende mitnehmen</w:t>
      </w:r>
    </w:p>
    <w:p>
      <w:r>
        <w:rPr>
          <w:i/>
          <w:color w:val="666666"/>
          <w:sz w:val="18"/>
        </w:rPr>
        <w:t>Craig S et al.  ·  BMC Palliat Care  ·  22.07.2026  ·  PMID 42894208</w:t>
      </w:r>
    </w:p>
    <w:p>
      <w:r>
        <w:t>Qualitative Studie mit 16 Studierenden (Krankenpflege, erstes Jahr) in UK über Erfahrungen mit Online-Lernressource zur Vorausschauenden Versorgungsplanung in Pflegeheimplatzierungen.</w:t>
      </w:r>
    </w:p>
    <w:p>
      <w:r>
        <w:rPr>
          <w:b/>
        </w:rPr>
        <w:t xml:space="preserve">Ergebnis: </w:t>
      </w:r>
      <w:r>
        <w:t>Studierende erlebten die digitale Ressource als zugänglich und passend zum Pflegeheim-Kontext. Sie berichteten gestiegenes Selbstvertrauen und erhöhte Bereitschaft, Versorgungsplanungs-Gespräche in der Praxis zu führen. Viele teilten die Ressource mit Personal und Kollegen. Manche wünschten sich mehr Interaktivität und Rehearsal-Gelegenheiten.</w:t>
      </w:r>
    </w:p>
    <w:p>
      <w:r>
        <w:rPr>
          <w:b/>
          <w:sz w:val="19"/>
        </w:rPr>
        <w:t xml:space="preserve">Übertragbarkeit: </w:t>
      </w:r>
      <w:r>
        <w:rPr>
          <w:sz w:val="19"/>
        </w:rPr>
        <w:t>UK, Pflegeheime, Pflegefachausbildung; übertragbar auf deutschsprachige Curricula</w:t>
      </w:r>
    </w:p>
    <w:p>
      <w:r>
        <w:rPr>
          <w:color w:val="5A7D3A"/>
          <w:sz w:val="18"/>
        </w:rPr>
        <w:t>https://pubmed.ncbi.nlm.nih.gov/42894208/</w:t>
      </w:r>
    </w:p>
    <w:p>
      <w:pPr>
        <w:pStyle w:val="Heading2"/>
      </w:pPr>
      <w:r>
        <w:t>Männliche Angehörige mit Demenz-Pflegeaufgaben: Hemmnisse bei der Hilfsuche</w:t>
      </w:r>
    </w:p>
    <w:p>
      <w:r>
        <w:rPr>
          <w:i/>
          <w:color w:val="666666"/>
          <w:sz w:val="18"/>
        </w:rPr>
        <w:t>Shin H et al.  ·  Int J Geriatr Psychiatry  ·  Okt. 2026  ·  PMID 42892696</w:t>
      </w:r>
    </w:p>
    <w:p>
      <w:r>
        <w:t>Systematischer Review mit 16 Studien zu Hemmnissen und Ermöglichern der Hilfsuche bei männlichen pflegenden Angehörigen von Menschen mit Demenz.</w:t>
      </w:r>
    </w:p>
    <w:p>
      <w:r>
        <w:rPr>
          <w:b/>
        </w:rPr>
        <w:t xml:space="preserve">Ergebnis: </w:t>
      </w:r>
      <w:r>
        <w:t>Psychologische Bewertung, Familiendynamik und strukturelle Barrieren beeinflussten Hilfsuche. Männliche Angehörige erlebten emotionale Herausforderungen; emotionale Unterdrückung verzögerte Hilfesuche. Familienbeziehungen und informelle Netzwerke waren zentral. Empfehlung: Unterstützung auf individueller, relationaler und struktureller Ebene, Anerkennung emotionaler Vulnerabilität unter task-orientierter Fassade.</w:t>
      </w:r>
    </w:p>
    <w:p>
      <w:r>
        <w:rPr>
          <w:b/>
          <w:sz w:val="19"/>
        </w:rPr>
        <w:t xml:space="preserve">Übertragbarkeit: </w:t>
      </w:r>
      <w:r>
        <w:rPr>
          <w:sz w:val="19"/>
        </w:rPr>
        <w:t>Internationales Review (hauptsächlich Nord-Amerika/Europa); Erkenntnisse zu Geschlechterdynamiken übertragbar</w:t>
      </w:r>
    </w:p>
    <w:p>
      <w:r>
        <w:rPr>
          <w:color w:val="5A7D3A"/>
          <w:sz w:val="18"/>
        </w:rPr>
        <w:t>https://pubmed.ncbi.nlm.nih.gov/42892696/</w:t>
      </w:r>
    </w:p>
    <w:p>
      <w:pPr>
        <w:pStyle w:val="Heading1"/>
      </w:pPr>
      <w:r>
        <w:t>Aufgenommen am 19.10.2026</w:t>
      </w:r>
    </w:p>
    <w:p>
      <w:pPr>
        <w:pStyle w:val="Heading2"/>
      </w:pPr>
      <w:r>
        <w:t>Soziale Teilhabe in Langzeitpflege: Roboter-VR-Interventionen bei kognitiven Einschränkungen</w:t>
      </w:r>
    </w:p>
    <w:p>
      <w:r>
        <w:rPr>
          <w:i/>
          <w:color w:val="666666"/>
          <w:sz w:val="18"/>
        </w:rPr>
        <w:t>Migovich M et al.  ·  Clin Interv Aging  ·  13.10.2026  ·  PMID 42893253</w:t>
      </w:r>
    </w:p>
    <w:p>
      <w:r>
        <w:t>Acht-Wochen-Studie mit 60 älteren Menschen mit kognitiven Beeinträchtigungen aus 23 Langzeiteinrichtungen (USA); 756 wiederholte Sitzungen mit sozialassistiven Robotern (hund-ähnlich, humanoid) gekoppelt mit VR, Messung Aufmerksamkeit und Sozialverhalten.</w:t>
      </w:r>
    </w:p>
    <w:p>
      <w:r>
        <w:rPr>
          <w:b/>
        </w:rPr>
        <w:t xml:space="preserve">Ergebnis: </w:t>
      </w:r>
      <w:r>
        <w:t>Aufmerksamkeit und Aktivitätshaltung blieben über wiederholte Exposition stabil positiv. Mensch-Mensch-Kommunikation (Mitbewohner, Fachpersonal) trat über beide Systeme auf; hund-ähnlicher Roboter führte zu mehr roboter-gerichteter Sprache, ohne Reduktion der Peer-Kommunikation. Baseline-Kognition assoziiert mit Aufmerksamkeit, nicht mit Einstellung. Roboter-Anthropomorphisierung bei Baseline korrelierte mit positiverer Engagement-Qualität.</w:t>
      </w:r>
    </w:p>
    <w:p>
      <w:r>
        <w:rPr>
          <w:b/>
          <w:sz w:val="19"/>
        </w:rPr>
        <w:t xml:space="preserve">Übertragbarkeit: </w:t>
      </w:r>
      <w:r>
        <w:rPr>
          <w:sz w:val="19"/>
        </w:rPr>
        <w:t>USA, konzeptionell für Aktivierungsansätze in deutschen Heimen relevant, Feasibility-Befund unabhängig von Finanzierungssystem</w:t>
      </w:r>
    </w:p>
    <w:p>
      <w:r>
        <w:rPr>
          <w:color w:val="5A7D3A"/>
          <w:sz w:val="18"/>
        </w:rPr>
        <w:t>https://pubmed.ncbi.nlm.nih.gov/42893253/</w:t>
      </w:r>
    </w:p>
    <w:p>
      <w:pPr>
        <w:pStyle w:val="Heading2"/>
      </w:pPr>
      <w:r>
        <w:t>Ungedeckte Fortbildungsbedarfe in der Altenpflege: Pan-europäische Befragung ambulanter und häuslicher Dienste</w:t>
      </w:r>
    </w:p>
    <w:p>
      <w:r>
        <w:rPr>
          <w:i/>
          <w:color w:val="666666"/>
          <w:sz w:val="18"/>
        </w:rPr>
        <w:t>Kravvariti E et al.  ·  Age Ageing  ·  03.08.2026  ·  PMID 42891966</w:t>
      </w:r>
    </w:p>
    <w:p>
      <w:r>
        <w:t>Die Studie erfasste bei 2380 Fachkräften aus 41 europäischen Ländern, welche Wissenslücken sie in der geriatrischen Versorgung selbst wahrnehmen. Bewertet wurden 33 Themenbereiche anhand einer Skala aus Relevanz, Interesse und subjektivem Wissen.</w:t>
      </w:r>
    </w:p>
    <w:p>
      <w:r>
        <w:rPr>
          <w:b/>
        </w:rPr>
        <w:t xml:space="preserve">Ergebnis: </w:t>
      </w:r>
      <w:r>
        <w:t>Größte Wissenslücken (höchste z-Scores) bestanden in: umfassender geriatrischer Erfassung, Widerstandsfähigkeit, chronischem Schmerz, Verhaltenssymptomen bei Demenz, Depression, Gebrechlichkeit und kognitiven Screenings. Alle Fachgruppen zeigten konsistent höhere Bewertung von Relevanz und Interesse als Selbsteinschätzung des Wissens. Berufsspezifische Prioritäten: Kommunikation und Patientenverfügungen (Pflege/Logopädie), Polypharmazie (Ärzte/Apotheker), Ernährung (Diätassistenten), psychische Gesundheit (Psychologen).</w:t>
      </w:r>
    </w:p>
    <w:p>
      <w:r>
        <w:rPr>
          <w:b/>
          <w:sz w:val="19"/>
        </w:rPr>
        <w:t xml:space="preserve">Übertragbarkeit: </w:t>
      </w:r>
      <w:r>
        <w:rPr>
          <w:sz w:val="19"/>
        </w:rPr>
        <w:t>41 europäische Länder, vergleichbare Versorgungskontexte, direkt auf deutsche Praxis übertragbar</w:t>
      </w:r>
    </w:p>
    <w:p>
      <w:r>
        <w:rPr>
          <w:color w:val="5A7D3A"/>
          <w:sz w:val="18"/>
        </w:rPr>
        <w:t>https://pubmed.ncbi.nlm.nih.gov/42891966/</w:t>
      </w:r>
    </w:p>
    <w:p>
      <w:pPr>
        <w:pStyle w:val="Heading2"/>
      </w:pPr>
      <w:r>
        <w:t>Burnout und Berufungserleben: Drei Pflegeprofil-Typen und ihre Folgen für unterlassene Pflege</w:t>
      </w:r>
    </w:p>
    <w:p>
      <w:r>
        <w:rPr>
          <w:i/>
          <w:color w:val="666666"/>
          <w:sz w:val="18"/>
        </w:rPr>
        <w:t>Mo N et al.  ·  J Nurs Manag  ·  2026  ·  PMID 42891534</w:t>
      </w:r>
    </w:p>
    <w:p>
      <w:r>
        <w:t>Latente-Profil-Analyse bei 524 Pflegenden aus China identifizierte Subgruppen unterschiedlichen Burnouts und Berufungsverständnisses und deren Zusammenhang mit selbstberichteter unterlassener Pflege sowie Arbeitsumgebung.</w:t>
      </w:r>
    </w:p>
    <w:p>
      <w:r>
        <w:rPr>
          <w:b/>
        </w:rPr>
        <w:t xml:space="preserve">Ergebnis: </w:t>
      </w:r>
      <w:r>
        <w:t>Drei Profile: «niedriger Burnout–hohes Berufungserleben» (49,6%), «reduzierte Leistungszufriedenheit» (37,8%), «hoher Burnout–niedriges Berufungserleben» (12,6%). Die Gruppe mit hohem Burnout berichtete höchste Quote unterlassener Pflege, gefolgt von reduzierter Leistungszufriedenheit. Alter, Qualifikation, beruflicher Status und Arbeitsumgebung waren signifikant mit Profilzugehörigkeit assoziiert.</w:t>
      </w:r>
    </w:p>
    <w:p>
      <w:r>
        <w:rPr>
          <w:b/>
          <w:sz w:val="19"/>
        </w:rPr>
        <w:t xml:space="preserve">Übertragbarkeit: </w:t>
      </w:r>
      <w:r>
        <w:rPr>
          <w:sz w:val="19"/>
        </w:rPr>
        <w:t>China, ähnliche Krankenhaus- und Organisationsstrukturen, Personalbemessungsfragen relevant auch für Deutschland</w:t>
      </w:r>
    </w:p>
    <w:p>
      <w:r>
        <w:rPr>
          <w:color w:val="5A7D3A"/>
          <w:sz w:val="18"/>
        </w:rPr>
        <w:t>https://pubmed.ncbi.nlm.nih.gov/42891534/</w:t>
      </w:r>
    </w:p>
    <w:p>
      <w:pPr>
        <w:pStyle w:val="Heading2"/>
      </w:pPr>
      <w:r>
        <w:t>Instrument zur Messung von Pflegeleistungs-Rationierung: Entwicklung und Validierung</w:t>
      </w:r>
    </w:p>
    <w:p>
      <w:r>
        <w:rPr>
          <w:i/>
          <w:color w:val="666666"/>
          <w:sz w:val="18"/>
        </w:rPr>
        <w:t>Mohammadi MM et al.  ·  Nurs Open  ·  Okt. 2026  ·  PMID 42888517</w:t>
      </w:r>
    </w:p>
    <w:p>
      <w:r>
        <w:t>Qualitative Vorarbeit (15 Pflegende, Inhaltsanalyse) und anschließende Validierungsstudie mit 220 klinischen Pflegenden zur Entwicklung eines Messinstruments für geleistete Pflegeoptimierungen und -ausfälle.</w:t>
      </w:r>
    </w:p>
    <w:p>
      <w:r>
        <w:rPr>
          <w:b/>
        </w:rPr>
        <w:t xml:space="preserve">Ergebnis: </w:t>
      </w:r>
      <w:r>
        <w:t>Finales Instrument mit 12 Items, ein Faktor, erklärt 71,97% Varianz. Exploratory Graph Analysis zeigte 100%ige Itemstabilität über 500 Bootstrap-Iterationen, Mokken H=0,762. Interne Konsistenz Cronbachs α=0,953, Test-Retest ICC=0,969 (95% KI: 0,953–0,985). Monte-Carlo-Simulation (1000 Wiederholungen) bestätigte hohe strukturelle Replizierbarkeit.</w:t>
      </w:r>
    </w:p>
    <w:p>
      <w:r>
        <w:rPr>
          <w:b/>
          <w:sz w:val="19"/>
        </w:rPr>
        <w:t xml:space="preserve">Übertragbarkeit: </w:t>
      </w:r>
      <w:r>
        <w:rPr>
          <w:sz w:val="19"/>
        </w:rPr>
        <w:t>Iran; Instrument-Validierung für Versorgungspraxis relevant, methodische Übertragbarkeit auf deutsche Kontexte</w:t>
      </w:r>
    </w:p>
    <w:p>
      <w:r>
        <w:rPr>
          <w:color w:val="5A7D3A"/>
          <w:sz w:val="18"/>
        </w:rPr>
        <w:t>https://pubmed.ncbi.nlm.nih.gov/42888517/</w:t>
      </w:r>
    </w:p>
    <w:p>
      <w:pPr>
        <w:pStyle w:val="Heading2"/>
      </w:pPr>
      <w:r>
        <w:t>Geschlechtsbasierte Gewalt in Beziehungen: Wissenslücken in der Pflegeausbildung Südspanien</w:t>
      </w:r>
    </w:p>
    <w:p>
      <w:r>
        <w:rPr>
          <w:i/>
          <w:color w:val="666666"/>
          <w:sz w:val="18"/>
        </w:rPr>
        <w:t>Tarriño-Concejero L et al.  ·  BMC Public Health  ·  28.07.2026  ·  PMID 42870243</w:t>
      </w:r>
    </w:p>
    <w:p>
      <w:r>
        <w:t>Qualitative Studie mit 24 Pflegestudierenden (18–24 Jahre) zu Erkennung und Verständnis von Partnergewalt sowie Einschätzung ihrer Ausbildungsvorbereitung.</w:t>
      </w:r>
    </w:p>
    <w:p>
      <w:r>
        <w:rPr>
          <w:b/>
        </w:rPr>
        <w:t xml:space="preserve">Ergebnis: </w:t>
      </w:r>
      <w:r>
        <w:t>Studierende erkannten Kontrollverhalten und psychologische Misshandlung als häufigste Manifestationen. Identifizierten Missbrauch von Sozialen Medien sowie Alkohol/Drogen als Intensivierungsfaktoren. Berichteten emotionale und körperliche Folgen (Angst, Stress, somatische Symptome). Insgesamt bewerteten 24/24 ihre Ausbildung zu Partnergewalt als oberflächlich, praxisleitfaden-arm und zur Entwicklung kritischer Kompetenzen unzureichend.</w:t>
      </w:r>
    </w:p>
    <w:p>
      <w:r>
        <w:rPr>
          <w:b/>
          <w:sz w:val="19"/>
        </w:rPr>
        <w:t xml:space="preserve">Übertragbarkeit: </w:t>
      </w:r>
      <w:r>
        <w:rPr>
          <w:sz w:val="19"/>
        </w:rPr>
        <w:t>Spanien, europäische Curriculum-Standards, Erkenntnisse zu Ausbildungslücken auf Deutschland übertragbar</w:t>
      </w:r>
    </w:p>
    <w:p>
      <w:r>
        <w:rPr>
          <w:color w:val="5A7D3A"/>
          <w:sz w:val="18"/>
        </w:rPr>
        <w:t>https://pubmed.ncbi.nlm.nih.gov/42870243/</w:t>
      </w:r>
    </w:p>
    <w:p>
      <w:pPr>
        <w:pStyle w:val="Heading2"/>
      </w:pPr>
      <w:r>
        <w:t>Advanced Nursing Practice in Europa: Regulierung und Grenzen der Aufgabenerweiterung</w:t>
      </w:r>
    </w:p>
    <w:p>
      <w:r>
        <w:rPr>
          <w:i/>
          <w:color w:val="666666"/>
          <w:sz w:val="18"/>
        </w:rPr>
        <w:t>Bohlender C et al.  ·  Int Nurs Rev  ·  Dez. 2026  ·  PMID 42861839</w:t>
      </w:r>
    </w:p>
    <w:p>
      <w:r>
        <w:t>Befragung von Regulatoren, Lehrenden und Berufsverbänden in WHO-Europaregion zu Stand und Rahmenbedingungen von erweiterten Pflegefunktionen in 32 Ländern.</w:t>
      </w:r>
    </w:p>
    <w:p>
      <w:r>
        <w:rPr>
          <w:b/>
        </w:rPr>
        <w:t xml:space="preserve">Ergebnis: </w:t>
      </w:r>
      <w:r>
        <w:t>Mehrheit europäischer Länder hat Advanced-Practice-Rollen; Tätigkeitsumfang variiert erheblich. Unabhängige Verschreibungsbefugnis in nur 4 Ländern etabliert. Reife der Rollen korrelierte mit staatlich gesteuerter oder gesetzlich verankerter Regulierung. Interessenvertreter befürworteten mehrheitlich regulatorische Intervention; empfohlen: Titel-, Qualifikations- und Kompetenznormierung sowie Regelung risikoreicher Funktionen (Diagnose, Verordnung).</w:t>
      </w:r>
    </w:p>
    <w:p>
      <w:r>
        <w:rPr>
          <w:b/>
          <w:sz w:val="19"/>
        </w:rPr>
        <w:t xml:space="preserve">Übertragbarkeit: </w:t>
      </w:r>
      <w:r>
        <w:rPr>
          <w:sz w:val="19"/>
        </w:rPr>
        <w:t>32 europäische Länder mit heterogenen Rechtssystemen; Regulierungslücke ähnlich auch in Deutschland</w:t>
      </w:r>
    </w:p>
    <w:p>
      <w:r>
        <w:rPr>
          <w:color w:val="5A7D3A"/>
          <w:sz w:val="18"/>
        </w:rPr>
        <w:t>https://pubmed.ncbi.nlm.nih.gov/42861839/</w:t>
      </w:r>
    </w:p>
    <w:p>
      <w:pPr>
        <w:pStyle w:val="Heading1"/>
      </w:pPr>
      <w:r>
        <w:t>Aufgenommen am 18.10.2026</w:t>
      </w:r>
    </w:p>
    <w:p>
      <w:pPr>
        <w:pStyle w:val="Heading2"/>
      </w:pPr>
      <w:r>
        <w:t>Sekundäres Trauma und Wachstum bei Pflegefachpersonen: drei psychische Profile</w:t>
      </w:r>
    </w:p>
    <w:p>
      <w:r>
        <w:rPr>
          <w:i/>
          <w:color w:val="666666"/>
          <w:sz w:val="18"/>
        </w:rPr>
        <w:t>Hu A et al.  ·  Front Public Health  ·  02.10.2026  ·  PMID 42890603</w:t>
      </w:r>
    </w:p>
    <w:p>
      <w:r>
        <w:t>Querschnittsstudie bei 496 chinesischen klinischen Pflegefachpersonen zur Identifikation unterschiedlicher Profile sekundären Traumas und posttraumatischen Wachstums und deren Einflussfaktoren.</w:t>
      </w:r>
    </w:p>
    <w:p>
      <w:r>
        <w:rPr>
          <w:b/>
        </w:rPr>
        <w:t xml:space="preserve">Ergebnis: </w:t>
      </w:r>
      <w:r>
        <w:t>Drei Profile identifiziert: Niedrig-Antwort-Profil (34,3%), Hochrisiko-Profil (42,3%), Positiv-Wachstums-Profil (23,4%). Selbstbeurteilter Gesundheitsstatus, Arbeitszufriedenheit, wahrgenommenes Burnout, administrative Position, Persönlichkeitsmerkmale und soziale Unterstützung waren signifikant mit Profilzugehörigkeit assoziiert (p &lt; 0,05). Zeigt heterogene psychische Reaktionsmuster auf Belastung.</w:t>
      </w:r>
    </w:p>
    <w:p>
      <w:r>
        <w:rPr>
          <w:b/>
          <w:sz w:val="19"/>
        </w:rPr>
        <w:t xml:space="preserve">Übertragbarkeit: </w:t>
      </w:r>
      <w:r>
        <w:rPr>
          <w:sz w:val="19"/>
        </w:rPr>
        <w:t>China – Kontext strukturelle Unterschiede; psychisches Belastungsprofil prinzipiell übertragbar</w:t>
      </w:r>
    </w:p>
    <w:p>
      <w:r>
        <w:rPr>
          <w:color w:val="5A7D3A"/>
          <w:sz w:val="18"/>
        </w:rPr>
        <w:t>https://pubmed.ncbi.nlm.nih.gov/42890603/</w:t>
      </w:r>
    </w:p>
    <w:p>
      <w:pPr>
        <w:pStyle w:val="Heading2"/>
      </w:pPr>
      <w:r>
        <w:t>Mentoring neu rekrutierter Intensivpfleger: Erfahrungen aus Ghana</w:t>
      </w:r>
    </w:p>
    <w:p>
      <w:r>
        <w:rPr>
          <w:i/>
          <w:color w:val="666666"/>
          <w:sz w:val="18"/>
        </w:rPr>
        <w:t>Konlan KD et al.  ·  Nurs Open  ·  Okt. 2026  ·  PMID 42888842</w:t>
      </w:r>
    </w:p>
    <w:p>
      <w:r>
        <w:t>Qualitative explorative Studie bei 12 neu rekrutierten Intensivpflegern in Accra zur Identifikation ihrer Erfahrungen und Bewältigungsstrategien in ressourcenlimitiertem Setting.</w:t>
      </w:r>
    </w:p>
    <w:p>
      <w:r>
        <w:rPr>
          <w:b/>
        </w:rPr>
        <w:t xml:space="preserve">Ergebnis: </w:t>
      </w:r>
      <w:r>
        <w:t>Kernthemen: Schichtkonflikte, fehlende Mentoren, unsupportive Lernumgebung; Bewältigungsstrategien: Selbstlerninitiative, Forderung nach strukturierten Orientierungsprogrammen, regelmäßige Evaluationen, Peer-Support-Netzwerke. Befunde zeigen: Ineffektives Mentoring durch Abwesenheit institutioneller Mentorship-Protokolle; strukturierte Orientation, Peer-Mentoring und geschützte Mentorship-Zeit als Lösungen identifiziert.</w:t>
      </w:r>
    </w:p>
    <w:p>
      <w:r>
        <w:rPr>
          <w:b/>
          <w:sz w:val="19"/>
        </w:rPr>
        <w:t xml:space="preserve">Übertragbarkeit: </w:t>
      </w:r>
      <w:r>
        <w:rPr>
          <w:sz w:val="19"/>
        </w:rPr>
        <w:t>Ghana – ressourcenbegrenzt, aber Mentoring-Gap und Bewältigungsstrategien prinzipiell relevant</w:t>
      </w:r>
    </w:p>
    <w:p>
      <w:r>
        <w:rPr>
          <w:color w:val="5A7D3A"/>
          <w:sz w:val="18"/>
        </w:rPr>
        <w:t>https://pubmed.ncbi.nlm.nih.gov/42888842/</w:t>
      </w:r>
    </w:p>
    <w:p>
      <w:pPr>
        <w:pStyle w:val="Heading2"/>
      </w:pPr>
      <w:r>
        <w:t>Strukturiertes Schmerzmanagement bei Terminalpatienten: schneller Einsatz, bessere Outcomes</w:t>
      </w:r>
    </w:p>
    <w:p>
      <w:r>
        <w:rPr>
          <w:i/>
          <w:color w:val="666666"/>
          <w:sz w:val="18"/>
        </w:rPr>
        <w:t>Nie H et al.  ·  Medicine (Baltimore)  ·  16.10.2026  ·  PMID 42888634</w:t>
      </w:r>
    </w:p>
    <w:p>
      <w:r>
        <w:t>Retrospektive Kohortenstudie bei 724 Terminalkrebspatienten in der Notaufnahme zur Assoziation zwischen zeitgerechtem strukturiertem Schmerzmanagement und Schmerzlinderung.</w:t>
      </w:r>
    </w:p>
    <w:p>
      <w:r>
        <w:rPr>
          <w:b/>
        </w:rPr>
        <w:t xml:space="preserve">Ergebnis: </w:t>
      </w:r>
      <w:r>
        <w:t>58,2% der Patienten erreichten effektive Schmerzlinderung (≥2-Punkte-Reduktion innerhalb 1 Stunde). Unabhängige Prädiktoren: Schmerzassessment innerhalb 30 Minuten (OR 1,84), Analgetikagabe innerhalb 30 Minuten (OR 2,24), Opioidnutzung (OR 1,52), dokumentierte Reassessment (OR 1,69). Strukturierte Gruppe (n=286): 75,9% vs. 46,6% Schmerzlinderung, schnellerer Eintritt (29,6 ± 11,3 vs. 52,7 ± 15,9 Min.), kürzerer Aufenthalt (3,4 ± 1,1 vs. 4,7 ± 1,4 Std.), weniger Revisiten in 72h (7,3% vs. 21,0%, p&lt;0,001).</w:t>
      </w:r>
    </w:p>
    <w:p>
      <w:r>
        <w:rPr>
          <w:b/>
          <w:sz w:val="19"/>
        </w:rPr>
        <w:t xml:space="preserve">Übertragbarkeit: </w:t>
      </w:r>
      <w:r>
        <w:rPr>
          <w:sz w:val="19"/>
        </w:rPr>
        <w:t>China – Dokumentationspraxis übertragbar, Palliativversorgung relevant</w:t>
      </w:r>
    </w:p>
    <w:p>
      <w:r>
        <w:rPr>
          <w:color w:val="5A7D3A"/>
          <w:sz w:val="18"/>
        </w:rPr>
        <w:t>https://pubmed.ncbi.nlm.nih.gov/42888634/</w:t>
      </w:r>
    </w:p>
    <w:p>
      <w:pPr>
        <w:pStyle w:val="Heading2"/>
      </w:pPr>
      <w:r>
        <w:t>Moralischer Stress bei Neueinsteigern: Zusammenhang mit Kündigungsabsicht</w:t>
      </w:r>
    </w:p>
    <w:p>
      <w:r>
        <w:rPr>
          <w:i/>
          <w:color w:val="666666"/>
          <w:sz w:val="18"/>
        </w:rPr>
        <w:t>Harris MA et al.  ·  Nurs Open  ·  Okt. 2026  ·  PMID 42888519</w:t>
      </w:r>
    </w:p>
    <w:p>
      <w:r>
        <w:t>Querschnittsstudie bei 203 neu lizenzierten Pflegefachpersonen (194 RN, 9 LPN) in US-amerikanischer Akutversorgung zur Assoziation zwischen moralischem Stress und Kündigungsabsicht.</w:t>
      </w:r>
    </w:p>
    <w:p>
      <w:r>
        <w:rPr>
          <w:b/>
        </w:rPr>
        <w:t xml:space="preserve">Ergebnis: </w:t>
      </w:r>
      <w:r>
        <w:t>Moralischer Stress signifikant mit Kündigungsabsicht assoziiert (p&lt;0,05), kontrolliert für Abteilung und Lizenztyp. Höhere Scores für moralischen Stress und Kündigungsabsicht in Medical-Surgical/Stepdown-Abteilungen als in Critical Care/ED und Procedural/Surgical Einheiten. Befunde zeigen: Moralischer Stress ist bedeutsamer Faktor für Fluktuationsabsicht bei Neueinsteigern; departmentspezifische Unterschiede deuten auf Bedarf für Abteilungsinterventionen hin.</w:t>
      </w:r>
    </w:p>
    <w:p>
      <w:r>
        <w:rPr>
          <w:b/>
          <w:sz w:val="19"/>
        </w:rPr>
        <w:t xml:space="preserve">Übertragbarkeit: </w:t>
      </w:r>
      <w:r>
        <w:rPr>
          <w:sz w:val="19"/>
        </w:rPr>
        <w:t>USA – Konzept übertragbar; deutsche Retention-Problematik bei Neueinsteigern ähnlich</w:t>
      </w:r>
    </w:p>
    <w:p>
      <w:r>
        <w:rPr>
          <w:color w:val="5A7D3A"/>
          <w:sz w:val="18"/>
        </w:rPr>
        <w:t>https://pubmed.ncbi.nlm.nih.gov/42888519/</w:t>
      </w:r>
    </w:p>
    <w:p>
      <w:pPr>
        <w:pStyle w:val="Heading2"/>
      </w:pPr>
      <w:r>
        <w:t>Belastung pflegender Eltern seltener Erkrankungen: unerwartete sozioökonomische Befunde</w:t>
      </w:r>
    </w:p>
    <w:p>
      <w:r>
        <w:rPr>
          <w:i/>
          <w:color w:val="666666"/>
          <w:sz w:val="18"/>
        </w:rPr>
        <w:t>Brandt M et al.  ·  Orphanet J Rare Dis  ·  12.10.2026  ·  PMID 42881418</w:t>
      </w:r>
    </w:p>
    <w:p>
      <w:r>
        <w:t>Querschnittsstudie bei 123 deutschen Eltern (84% weiblich) von Kindern mit seltenen Erkrankungen zur Erfassung von Pflegebelastung und ihrer Prädiktoren.</w:t>
      </w:r>
    </w:p>
    <w:p>
      <w:r>
        <w:rPr>
          <w:b/>
        </w:rPr>
        <w:t xml:space="preserve">Ergebnis: </w:t>
      </w:r>
      <w:r>
        <w:t>23% berichteten depressive Symptome (Borderline/klinisch relevant); 77% mindestens eine unerfüllte Unterstützungsneed; in Subgruppe mit Pflegebedarf: 24% hohe Pflegebelastung. Nach Adjustierung: Gruppe mit vs. ohne Pflegebedarf zeigte keine signifikanten Unterschiede in depressiven Symptomen, unerfüllten Needs oder Zufriedenheit (aber mittlere Effektstärken). Unerwartete Assoziation: höherer sozioökonomischer Status → höhere Pflegebelastung. Faktoren mit höchsten Assoziationen: niedrigere pflegebezogene Lebensqualität, höherer SES, elterliche depressive Symptome, niedrigere Zufriedenheit.</w:t>
      </w:r>
    </w:p>
    <w:p>
      <w:r>
        <w:rPr>
          <w:b/>
          <w:sz w:val="19"/>
        </w:rPr>
        <w:t xml:space="preserve">Übertragbarkeit: </w:t>
      </w:r>
      <w:r>
        <w:rPr>
          <w:sz w:val="19"/>
        </w:rPr>
        <w:t>Deutschland – deutsches Sample, vergleichbare Sozialstruktur, familiäre Pflege zentral</w:t>
      </w:r>
    </w:p>
    <w:p>
      <w:r>
        <w:rPr>
          <w:color w:val="5A7D3A"/>
          <w:sz w:val="18"/>
        </w:rPr>
        <w:t>https://pubmed.ncbi.nlm.nih.gov/42881418/</w:t>
      </w:r>
    </w:p>
    <w:p>
      <w:pPr>
        <w:pStyle w:val="Heading2"/>
      </w:pPr>
      <w:r>
        <w:t>Haemostasis-Protokolle in der Interventionskardiologie: Supervision und Adhärenz bei Pflegefachpersonen</w:t>
      </w:r>
    </w:p>
    <w:p>
      <w:r>
        <w:rPr>
          <w:i/>
          <w:color w:val="666666"/>
          <w:sz w:val="18"/>
        </w:rPr>
        <w:t>Rodrigues D et al.  ·  J Nurs Manag  ·  2026  ·  PMID 42878027</w:t>
      </w:r>
    </w:p>
    <w:p>
      <w:r>
        <w:t>Querschnittsstudie bei 96 portugiesischen Fachkräften in fünf Krankenhäusern zur Einhaltung von Hämostase-Protokollen nach radialer Koronarangiographie und zur klinischen Supervision.</w:t>
      </w:r>
    </w:p>
    <w:p>
      <w:r>
        <w:rPr>
          <w:b/>
        </w:rPr>
        <w:t xml:space="preserve">Ergebnis: </w:t>
      </w:r>
      <w:r>
        <w:t>Nur 6,3% zeigten volle Adhärenz zum TR-Band-Protokoll, 44,2% teilweise Adhärenz; erhebliche Variabilität bei Nachsorge (Fahrverbot 24 h: 44,8 % vs. 48 h: 47,9 %); 88,5% der Pflegefachpersonen hatten keine formale Supervisionsschulung; Supervisoren nutzten vorwiegend Erklärung und Demonstration (87,3%), weniger Feedback (45,1%) und Diskussion (43,1%). Zeigt großes Defizit zwischen Protokoll und Praxis sowie in formativer Supervision.</w:t>
      </w:r>
    </w:p>
    <w:p>
      <w:r>
        <w:rPr>
          <w:b/>
          <w:sz w:val="19"/>
        </w:rPr>
        <w:t xml:space="preserve">Übertragbarkeit: </w:t>
      </w:r>
      <w:r>
        <w:rPr>
          <w:sz w:val="19"/>
        </w:rPr>
        <w:t>Portugal – vergleichbare Pflegefachausbildung, kardiovaskuläre Pflegepraxis übertragbar</w:t>
      </w:r>
    </w:p>
    <w:p>
      <w:r>
        <w:rPr>
          <w:color w:val="5A7D3A"/>
          <w:sz w:val="18"/>
        </w:rPr>
        <w:t>https://pubmed.ncbi.nlm.nih.gov/42878027/</w:t>
      </w:r>
    </w:p>
    <w:p>
      <w:pPr>
        <w:pStyle w:val="Heading2"/>
      </w:pPr>
      <w:r>
        <w:t>Krisen-Resilienz im deutschen Gesundheitswesen: Bereitschaft von Nachwuchspflegekräften</w:t>
      </w:r>
    </w:p>
    <w:p>
      <w:r>
        <w:rPr>
          <w:i/>
          <w:color w:val="666666"/>
          <w:sz w:val="18"/>
        </w:rPr>
        <w:t>Amling L et al.  ·  BMC Public Health  ·  02.10.2026  ·  PMID 42827239</w:t>
      </w:r>
    </w:p>
    <w:p>
      <w:r>
        <w:t>Querschnittsstudie bei 514 deutschen Studierenden (Medizin, Pflege, Rettungsdienst) zur Assoziationen zwischen Vorbereitung, Bewusstsein, Eigenverantwortung und Bereitschaft zur Krisenbewältigung.</w:t>
      </w:r>
    </w:p>
    <w:p>
      <w:r>
        <w:rPr>
          <w:b/>
        </w:rPr>
        <w:t xml:space="preserve">Ergebnis: </w:t>
      </w:r>
      <w:r>
        <w:t>48,8% hielten NATO-Szenario bis 2030 für wahrscheinlich; 83,3% erwarteten negative Auswirkungen auf deutsches Gesundheitssystem; 94,5% sahen Gesundheitssystem als schlecht vorbereitet; individuelle Vorbereitung niedrig (Median 3 auf 0–12-Skala); in multivariater Analyse: höher wahrgenommene institutionelle Vorbereitung (p&lt;0,01), freiwilliges Engagement (p&lt;0,01) und Bewusstsein (p&lt;0,01) signifikant mit höherer Bereitschaft assoziiert.</w:t>
      </w:r>
    </w:p>
    <w:p>
      <w:r>
        <w:rPr>
          <w:b/>
          <w:sz w:val="19"/>
        </w:rPr>
        <w:t xml:space="preserve">Übertragbarkeit: </w:t>
      </w:r>
      <w:r>
        <w:rPr>
          <w:sz w:val="19"/>
        </w:rPr>
        <w:t>Deutschland – direkt anwendbar, deutsche Studiendaten, Nachwuchsproblem zentral</w:t>
      </w:r>
    </w:p>
    <w:p>
      <w:r>
        <w:rPr>
          <w:color w:val="5A7D3A"/>
          <w:sz w:val="18"/>
        </w:rPr>
        <w:t>https://pubmed.ncbi.nlm.nih.gov/42827239/</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