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18.09.2026  |  6 Studien  |  pflege.m-vf.de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Intelligentes Katheter-Warnsystem reduziert ungeplante Extubationen</w:t>
      </w:r>
    </w:p>
    <w:p>
      <w:r>
        <w:rPr>
          <w:i/>
          <w:color w:val="666666"/>
          <w:sz w:val="18"/>
        </w:rPr>
        <w:t>Lu Y et al.  ·  Health Informatics J  ·  17.09.2026  ·  PMID 42752222</w:t>
      </w:r>
    </w:p>
    <w:p>
      <w:r>
        <w:t>Prä-Post-Implementierungsstudie in Klinik mit 205 Pflegekräften und Patienten mit Urin- oder Magensonden zur Wirksamkeit eines automatisierten Risikowarnsystems auf ungeplante Extubationen und Pflegezufriedenheit.</w:t>
      </w:r>
    </w:p>
    <w:p>
      <w:r>
        <w:rPr>
          <w:b/>
        </w:rPr>
        <w:t xml:space="preserve">Ergebnis: </w:t>
      </w:r>
      <w:r>
        <w:t>Ungeplante Magensonden-Entfernung sank von 0,852‰ auf 0,501‰, Urinkatheterverlust von 0,219‰ auf 0,114‰. PSSUQ-Scores und Pflegezufriedenheit signifikant gestiegen (p&lt;0,001). Markierungsklarheit verbessert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Ergebnis auf Sicherheit und Workflow übertragbar, Systeme adaptierbar</w:t>
      </w:r>
    </w:p>
    <w:p>
      <w:r>
        <w:rPr>
          <w:color w:val="5A7D3A"/>
          <w:sz w:val="18"/>
        </w:rPr>
        <w:t>https://pubmed.ncbi.nlm.nih.gov/42752222/</w:t>
      </w:r>
    </w:p>
    <w:p>
      <w:pPr>
        <w:pStyle w:val="Heading2"/>
      </w:pPr>
      <w:r>
        <w:t>Pflegeleitergesteuertes Beatmungsmanagement senkt Pneumonierate bei Sepsispatienten</w:t>
      </w:r>
    </w:p>
    <w:p>
      <w:r>
        <w:rPr>
          <w:i/>
          <w:color w:val="666666"/>
          <w:sz w:val="18"/>
        </w:rPr>
        <w:t>Xu Y et al.  ·  Crit Care  ·  14.09.2026  ·  PMID 42750044</w:t>
      </w:r>
    </w:p>
    <w:p>
      <w:r>
        <w:t>Multizentrische vergleichende Studie zur Wirksamkeit eines strukturierten Atemwegsmanagement-Bündels durch speziell geschulte Pflegekräfte auf Pneumonieinzidenz, Verweildauer und Mortalität bei Patienten mit abdomineller Sepsis auf Intensivstationen.</w:t>
      </w:r>
    </w:p>
    <w:p>
      <w:r>
        <w:rPr>
          <w:b/>
        </w:rPr>
        <w:t xml:space="preserve">Ergebnis: </w:t>
      </w:r>
      <w:r>
        <w:t>Pneumonieinzidenz sank von 42,2% (Kontrolle) auf 25,6% (Intervention, p&lt;0,001), OR 0,39 (95%-KI 0,28-0,54). Verweildauer verkürzt um 20% (IRR 0,80), 28-Tage-Mortalität 18,3% vs. 22,8% (OR 0,66, p=0,025). Effekt robust über fünf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Intensivstrukturen, strukturierte Pflegeprotokolle adaptierbar</w:t>
      </w:r>
    </w:p>
    <w:p>
      <w:r>
        <w:rPr>
          <w:color w:val="5A7D3A"/>
          <w:sz w:val="18"/>
        </w:rPr>
        <w:t>https://pubmed.ncbi.nlm.nih.gov/42750044/</w:t>
      </w:r>
    </w:p>
    <w:p>
      <w:pPr>
        <w:pStyle w:val="Heading2"/>
      </w:pPr>
      <w:r>
        <w:t>Schichtarbeit und Migräne bei niederländischen Pflegekräften: prospektive Kohortenstudie</w:t>
      </w:r>
    </w:p>
    <w:p>
      <w:r>
        <w:rPr>
          <w:i/>
          <w:color w:val="666666"/>
          <w:sz w:val="18"/>
        </w:rPr>
        <w:t>van der Grinten T et al.  ·  Ann Work Expo Health  ·  26.08.2026  ·  PMID 42747342</w:t>
      </w:r>
    </w:p>
    <w:p>
      <w:r>
        <w:t>Prospektive Kohortenstudie mit zwei Messzeitpunkten (2011, 2017) zur Assoziation von Schichtarbeit mit Kopfschmerzen und Migräne bei 59.768 niederländischen Pflegekräften, adjustiert für Schlafstörungen.</w:t>
      </w:r>
    </w:p>
    <w:p>
      <w:r>
        <w:rPr>
          <w:b/>
        </w:rPr>
        <w:t xml:space="preserve">Ergebnis: </w:t>
      </w:r>
      <w:r>
        <w:t>Migräne: RR 1,13 (95%-KI 1,02-1,26) bei früherer Schichtarbeit. Kopfschmerz-Assoziation (RR 1,04) attenuierte nach Adjustierung für Schlafstörungen (RR 1,01, KI 0,98-1,04). Keine konsistente Assoziation mit aktueller Schichtarbeit.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Versicherungssystem und Schichtmodelle vergleichbar mit Deutschland</w:t>
      </w:r>
    </w:p>
    <w:p>
      <w:r>
        <w:rPr>
          <w:color w:val="5A7D3A"/>
          <w:sz w:val="18"/>
        </w:rPr>
        <w:t>https://pubmed.ncbi.nlm.nih.gov/42747342/</w:t>
      </w:r>
    </w:p>
    <w:p>
      <w:pPr>
        <w:pStyle w:val="Heading2"/>
      </w:pPr>
      <w:r>
        <w:t>Sicherheitsklima im OP: Wahrnehmung von Pflegekräften in Slowenien</w:t>
      </w:r>
    </w:p>
    <w:p>
      <w:r>
        <w:rPr>
          <w:i/>
          <w:color w:val="666666"/>
          <w:sz w:val="18"/>
        </w:rPr>
        <w:t>Karnjuš I et al.  ·  BMJ Open  ·  15.09.2026  ·  PMID 42744359</w:t>
      </w:r>
    </w:p>
    <w:p>
      <w:r>
        <w:t>Querschnittstudie zur Wahrnehmung des Sicherheitsklimas durch OP- und Anästhesiepflegekräfte (n=169) in 14 slowenischen Krankenhäusern mittels Safety Attitudes Questionnaire-OR mit Fokus auf Einflussfaktoren.</w:t>
      </w:r>
    </w:p>
    <w:p>
      <w:r>
        <w:rPr>
          <w:b/>
        </w:rPr>
        <w:t xml:space="preserve">Ergebnis: </w:t>
      </w:r>
      <w:r>
        <w:t>Positive Sicherheitseinstellungen variierten deutlich zwischen Domänen: Managementwahrnehmung 7,7%, Arbeitszufriedenheit 57,4% (MW 75,24, 95%-KI 72,86-77,62). OP-Pflegekräfte positiver als Anästhesiepflegekräfte (Mitteldifferenz 0,21, p=0,007). Berufliche Rolle und Betriebszugehörigkeit signifikante Prädiktoren.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Südosteuropa mit ähnlicher EU-Regulierung, Ergebnisse teilweise auf deutschsprachige Systeme übertragbar</w:t>
      </w:r>
    </w:p>
    <w:p>
      <w:r>
        <w:rPr>
          <w:color w:val="5A7D3A"/>
          <w:sz w:val="18"/>
        </w:rPr>
        <w:t>https://pubmed.ncbi.nlm.nih.gov/42744359/</w:t>
      </w:r>
    </w:p>
    <w:p>
      <w:pPr>
        <w:pStyle w:val="Heading2"/>
      </w:pPr>
      <w:r>
        <w:t>Sexuelle Gewalt in der Geburtshilfe: was Frauen von Hebammen brauchen</w:t>
      </w:r>
    </w:p>
    <w:p>
      <w:r>
        <w:rPr>
          <w:i/>
          <w:color w:val="666666"/>
          <w:sz w:val="18"/>
        </w:rPr>
        <w:t>Bosma NSWM et al.  ·  Eur J Psychotraumatol  ·  14.09.2026  ·  PMID 42735068</w:t>
      </w:r>
    </w:p>
    <w:p>
      <w:r>
        <w:t>Qualitative Studie mit 147 Frauen aus den Niederlanden zu Erfahrungen und Präferenzen bei Offenbarung von sexuellem Missbrauch gegenüber Hebammen und Gynäkologen; Identifikation von Unterstützungsbedarfen.</w:t>
      </w:r>
    </w:p>
    <w:p>
      <w:r>
        <w:rPr>
          <w:b/>
        </w:rPr>
        <w:t xml:space="preserve">Ergebnis: </w:t>
      </w:r>
      <w:r>
        <w:t>Drei zentrale Anforderungen: (1) Empathie und Traumaverstehen ohne emotionale Reaktion; (2) proaktives Ansprechen und Informationen zu Zusammenhängen; (3) Kontrolle über Details und Beteiligte. Befunde zeigen Notwendigkeit traumainformierter Richtlinien zur Vermeidung von Retraumatisierung.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Hebammensystem vergleichbar, Befunde zu traumainformierter Kommunikation übertragbar</w:t>
      </w:r>
    </w:p>
    <w:p>
      <w:r>
        <w:rPr>
          <w:color w:val="5A7D3A"/>
          <w:sz w:val="18"/>
        </w:rPr>
        <w:t>https://pubmed.ncbi.nlm.nih.gov/42735068/</w:t>
      </w:r>
    </w:p>
    <w:p>
      <w:pPr>
        <w:pStyle w:val="Heading2"/>
      </w:pPr>
      <w:r>
        <w:t>Pflegekräfte und Desinformation im Internet: Vertrauenswahrnehmung und Bildung</w:t>
      </w:r>
    </w:p>
    <w:p>
      <w:r>
        <w:rPr>
          <w:i/>
          <w:color w:val="666666"/>
          <w:sz w:val="18"/>
        </w:rPr>
        <w:t>Katsiroumpa A et al.  ·  Int Nurs Rev  ·  Sept. 2026  ·  PMID 42683609</w:t>
      </w:r>
    </w:p>
    <w:p>
      <w:r>
        <w:t>Griechische Querschnittstudie bei Pflegekräften (n&gt;200) zur Assoziation zwischen Vertrauen in Wissenschaftler und Anfälligkeit für Online-Gesundheitsdesinformation sowie Einflussfaktoren wie Bildungsabschluss.</w:t>
      </w:r>
    </w:p>
    <w:p>
      <w:r>
        <w:rPr>
          <w:b/>
        </w:rPr>
        <w:t xml:space="preserve">Ergebnis: </w:t>
      </w:r>
      <w:r>
        <w:t>Höheres Vertrauen in Wissenschaftler assoziiert mit niedrigerer Desinformations-Anfälligkeit (negativ). MSc/PhD-Absolventen weniger anfällig als Grundausbildung. Interesse an Politik assoziiert mit niedrigerer Anfälligkeit. Bildungseffekt signifikant unabhängig.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europäisches System, Befunde zur Fortbildung relevant für Deutschland</w:t>
      </w:r>
    </w:p>
    <w:p>
      <w:r>
        <w:rPr>
          <w:color w:val="5A7D3A"/>
          <w:sz w:val="18"/>
        </w:rPr>
        <w:t>https://pubmed.ncbi.nlm.nih.gov/42683609/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