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Pflege und Langzeitversorgung</w:t>
      </w:r>
    </w:p>
    <w:p>
      <w:r>
        <w:rPr>
          <w:i/>
          <w:color w:val="666666"/>
          <w:sz w:val="18"/>
        </w:rPr>
        <w:t>Stand: 15.10.2026  |  7 Studien  |  pflege.m-vf.de</w:t>
      </w:r>
    </w:p>
    <w:p>
      <w:pPr>
        <w:pStyle w:val="Heading1"/>
      </w:pPr>
      <w:r>
        <w:t>Aufgenommen am 15.10.2026</w:t>
      </w:r>
    </w:p>
    <w:p>
      <w:pPr>
        <w:pStyle w:val="Heading2"/>
      </w:pPr>
      <w:r>
        <w:t>Selbstwirksamkeit in der Palliativversorgung: Validierung einer Skala für Pflegekräfte</w:t>
      </w:r>
    </w:p>
    <w:p>
      <w:r>
        <w:rPr>
          <w:i/>
          <w:color w:val="666666"/>
          <w:sz w:val="18"/>
        </w:rPr>
        <w:t>Brink P et al.  ·  Int J Palliat Nurs  ·  02.10.2026  ·  PMID 42873720</w:t>
      </w:r>
    </w:p>
    <w:p>
      <w:r>
        <w:t>Querschnittstudie mit 168 Pflegekräften in kanadischen Langzeitpflegeeinrichtungen zur Validierung der Modified Self-Efficacy in Palliative Care Scale.</w:t>
      </w:r>
    </w:p>
    <w:p>
      <w:r>
        <w:rPr>
          <w:b/>
        </w:rPr>
        <w:t xml:space="preserve">Ergebnis: </w:t>
      </w:r>
      <w:r>
        <w:t>Die 12-Item-Version zeigte Cronbachs Alpha=0,828; die reduzierte 10-Item-Version Alpha=0,901. Exploratory Factor Analysis identifizierte drei Faktoren: Kommunikation, Patientenmanagement und multidisziplinäre Teamarbeit. Item-Gesamt-Korrelationen lagen zwischen 0,61 und 0,90. Faktorladungen &gt;0,60.</w:t>
      </w:r>
    </w:p>
    <w:p>
      <w:r>
        <w:rPr>
          <w:b/>
          <w:sz w:val="19"/>
        </w:rPr>
        <w:t xml:space="preserve">Übertragbarkeit: </w:t>
      </w:r>
      <w:r>
        <w:rPr>
          <w:sz w:val="19"/>
        </w:rPr>
        <w:t>Kanada, vergleichbare Langzeitpflegestruktur; Instrument könnte in Deutschland getestet werden.</w:t>
      </w:r>
    </w:p>
    <w:p>
      <w:r>
        <w:rPr>
          <w:color w:val="5A7D3A"/>
          <w:sz w:val="18"/>
        </w:rPr>
        <w:t>https://pubmed.ncbi.nlm.nih.gov/42873720/</w:t>
      </w:r>
    </w:p>
    <w:p>
      <w:pPr>
        <w:pStyle w:val="Heading2"/>
      </w:pPr>
      <w:r>
        <w:t>Akupunktur bei Demenz im Pflegeheim: Wirkung auf Funktionsfähigkeit und Symptome</w:t>
      </w:r>
    </w:p>
    <w:p>
      <w:r>
        <w:rPr>
          <w:i/>
          <w:color w:val="666666"/>
          <w:sz w:val="18"/>
        </w:rPr>
        <w:t>Chan MY et al.  ·  Age Ageing  ·  03.08.2026  ·  PMID 42870555</w:t>
      </w:r>
    </w:p>
    <w:p>
      <w:r>
        <w:t>Randomisierte Studie mit 118 älteren Menschen mit Demenz in 19 Wohnheimen Hongkongs; 59 erhielten 12 Wochen Akupunktur zusätzlich zur Standardversorgung, 59 nur Standardversorgung.</w:t>
      </w:r>
    </w:p>
    <w:p>
      <w:r>
        <w:rPr>
          <w:b/>
        </w:rPr>
        <w:t xml:space="preserve">Ergebnis: </w:t>
      </w:r>
      <w:r>
        <w:t>Kognition (Montreal Cognitive Assessment) zeigte keine signifikante Verbesserung. Funktionelle Unabhängigkeit (Modifizierter Barthel-Index) verbesserte sich durch Akupunktur um 4,12 Punkte (95%-KI: 0,81–7,44; p=0,015, standardisierte Effektgröße=0,29). Schlaf, Schmerz und depressive Symptome zeigten keine signifikanten Unterschiede. Nebenwirkungen waren mild.</w:t>
      </w:r>
    </w:p>
    <w:p>
      <w:r>
        <w:rPr>
          <w:b/>
          <w:sz w:val="19"/>
        </w:rPr>
        <w:t xml:space="preserve">Übertragbarkeit: </w:t>
      </w:r>
      <w:r>
        <w:rPr>
          <w:sz w:val="19"/>
        </w:rPr>
        <w:t>Hongkong, vergleichbare Altenversorgung; Übertragbarkeit der Akupunkturmethodik auf deutsche Heime wäre zu prüfen.</w:t>
      </w:r>
    </w:p>
    <w:p>
      <w:r>
        <w:rPr>
          <w:color w:val="5A7D3A"/>
          <w:sz w:val="18"/>
        </w:rPr>
        <w:t>https://pubmed.ncbi.nlm.nih.gov/42870555/</w:t>
      </w:r>
    </w:p>
    <w:p>
      <w:pPr>
        <w:pStyle w:val="Heading2"/>
      </w:pPr>
      <w:r>
        <w:t>Pflegepersonalausstattung und Bewohnerergebnisse: Was die Evidenz über Personalquoten aussagt</w:t>
      </w:r>
    </w:p>
    <w:p>
      <w:r>
        <w:rPr>
          <w:i/>
          <w:color w:val="666666"/>
          <w:sz w:val="18"/>
        </w:rPr>
        <w:t>Almazan J et al.  ·  J Nurs Manag  ·  2026  ·  PMID 42870353</w:t>
      </w:r>
    </w:p>
    <w:p>
      <w:r>
        <w:t>Scoping Review nach JBI-Anleitung über 20 Primärstudien zu Pflegepersonalausstattung (RN-spezifisch), Workload-Indikatoren und Bewohnerergebnisse in Pflegeheimen (bis September 2026).</w:t>
      </w:r>
    </w:p>
    <w:p>
      <w:r>
        <w:rPr>
          <w:b/>
        </w:rPr>
        <w:t xml:space="preserve">Ergebnis: </w:t>
      </w:r>
      <w:r>
        <w:t>Höhere RN-Verfügbarkeit und günstigere Arbeitsumgebung waren generell mit besseren Bewohnerergebnissen assoziiert; Befunde variierten nach Outcome-Typ, Timing, Personalausstattung und Organisationskontext. Universelle RN-Personalquote nicht etabliert; Evidenz überwiegend observational.</w:t>
      </w:r>
    </w:p>
    <w:p>
      <w:r>
        <w:rPr>
          <w:b/>
          <w:sz w:val="19"/>
        </w:rPr>
        <w:t xml:space="preserve">Übertragbarkeit: </w:t>
      </w:r>
      <w:r>
        <w:rPr>
          <w:sz w:val="19"/>
        </w:rPr>
        <w:t>Primär anglophone Heime; zeigt: Staffing-Ratios allein abbilden nicht Komplexität, Kontinuität oder Arbeitsdichte.</w:t>
      </w:r>
    </w:p>
    <w:p>
      <w:r>
        <w:rPr>
          <w:color w:val="5A7D3A"/>
          <w:sz w:val="18"/>
        </w:rPr>
        <w:t>https://pubmed.ncbi.nlm.nih.gov/42870353/</w:t>
      </w:r>
    </w:p>
    <w:p>
      <w:pPr>
        <w:pStyle w:val="Heading2"/>
      </w:pPr>
      <w:r>
        <w:t>Fehlerkultur durch Storytelling: Narrative Lerninterventionen für Pflegekräfte</w:t>
      </w:r>
    </w:p>
    <w:p>
      <w:r>
        <w:rPr>
          <w:i/>
          <w:color w:val="666666"/>
          <w:sz w:val="18"/>
        </w:rPr>
        <w:t>Adel-Mehraban M et al.  ·  Health Res Policy Syst  ·  05.10.2026  ·  PMID 42870259</w:t>
      </w:r>
    </w:p>
    <w:p>
      <w:r>
        <w:t>Quasiexperimentelle Studie mit 64 Pflegekräften (32 Intervention, 32 Kontrolle) in einem iranischen Krankenhaus; Interventionsgruppe erhielt 6 Storytelling-Sitzungen (je 1,5h) über 3 Monate basierend auf Fehlervorfällen des Hauses.</w:t>
      </w:r>
    </w:p>
    <w:p>
      <w:r>
        <w:rPr>
          <w:b/>
        </w:rPr>
        <w:t xml:space="preserve">Ergebnis: </w:t>
      </w:r>
      <w:r>
        <w:t>Patient Safety Culture (Hospital Survey on Patient Safety Culture) stieg in der Interventionsgruppe signifikant stärker als in Kontrolle (p&lt;0,001). Effektgröße=0,159 (substanziell, &gt;0,08). Größter Impact auf Dimension 'Training und Fähigkeiten' (ES=0,185), kleinster auf Dimension 'Personal' (ES=0,049).</w:t>
      </w:r>
    </w:p>
    <w:p>
      <w:r>
        <w:rPr>
          <w:b/>
          <w:sz w:val="19"/>
        </w:rPr>
        <w:t xml:space="preserve">Übertragbarkeit: </w:t>
      </w:r>
      <w:r>
        <w:rPr>
          <w:sz w:val="19"/>
        </w:rPr>
        <w:t>Iran, andere Gesundheitssystemstruktur; Prinzip der narrativen Fehleraufarbeitung ist systemübergreifend anwendbar.</w:t>
      </w:r>
    </w:p>
    <w:p>
      <w:r>
        <w:rPr>
          <w:color w:val="5A7D3A"/>
          <w:sz w:val="18"/>
        </w:rPr>
        <w:t>https://pubmed.ncbi.nlm.nih.gov/42870259/</w:t>
      </w:r>
    </w:p>
    <w:p>
      <w:pPr>
        <w:pStyle w:val="Heading2"/>
      </w:pPr>
      <w:r>
        <w:t>Pflegepersonalentwicklung nach Bildungsreform: Was Reformdruck mit Personalausstattung bewirkt</w:t>
      </w:r>
    </w:p>
    <w:p>
      <w:r>
        <w:rPr>
          <w:i/>
          <w:color w:val="666666"/>
          <w:sz w:val="18"/>
        </w:rPr>
        <w:t>Ospanova D et al.  ·  Front Public Health  ·  28.09.2026  ·  PMID 42865703</w:t>
      </w:r>
    </w:p>
    <w:p>
      <w:r>
        <w:t>Zeitreihenanalyse mit administrativen Daten (2003–2024) zur Pflegepersonaldichte pro 10.000 Einwohner in Kasachstan vor und nach Einführung eines Applied-Bachelor-Programms 2014.</w:t>
      </w:r>
    </w:p>
    <w:p>
      <w:r>
        <w:rPr>
          <w:b/>
        </w:rPr>
        <w:t xml:space="preserve">Ergebnis: </w:t>
      </w:r>
      <w:r>
        <w:t>Pflegepersonaldichte stieg von 77,4 (2003) auf Peak 101,2 (2012), dann Stabilisierung bei 93,3–100,0 (2024). Strukturelle Wendepunkt bei ~2012 (95%-KI: 2010–2014), 2 Jahre VOR der Reform. GLS-Modell zeigte bei 2014 Level Change: −5,45 (p=0,001) und Slope Change: −2,16 pro Jahr (p&lt;0,001). Pflegekräfte-zu-Ärzte-Ratio sank von 2,62 (2012) auf 2,30 (2024), unter WHO-Empfehlung 3:1. Prognose: 111,0 pro 10.000 bis 2035.</w:t>
      </w:r>
    </w:p>
    <w:p>
      <w:r>
        <w:rPr>
          <w:b/>
          <w:sz w:val="19"/>
        </w:rPr>
        <w:t xml:space="preserve">Übertragbarkeit: </w:t>
      </w:r>
      <w:r>
        <w:rPr>
          <w:sz w:val="19"/>
        </w:rPr>
        <w:t>Zentralasien, anderes Ausgangssystem; Befund zeigt: Bildungsreform allein stabilisiert nicht bei Personalabbau.</w:t>
      </w:r>
    </w:p>
    <w:p>
      <w:r>
        <w:rPr>
          <w:color w:val="5A7D3A"/>
          <w:sz w:val="18"/>
        </w:rPr>
        <w:t>https://pubmed.ncbi.nlm.nih.gov/42865703/</w:t>
      </w:r>
    </w:p>
    <w:p>
      <w:pPr>
        <w:pStyle w:val="Heading2"/>
      </w:pPr>
      <w:r>
        <w:t>Informelle Pflege und Herz-Kreislauf-Gesundheit: Schutzeffekt oder Selektionseffekt?</w:t>
      </w:r>
    </w:p>
    <w:p>
      <w:r>
        <w:rPr>
          <w:i/>
          <w:color w:val="666666"/>
          <w:sz w:val="18"/>
        </w:rPr>
        <w:t>Cervigón R et al.  ·  PLoS One  ·  09.10.2026  ·  PMID 42853871</w:t>
      </w:r>
    </w:p>
    <w:p>
      <w:r>
        <w:t>Querschnittsanalyse von 62.881 Personen (50–84 Jahre) aus 28 europäischen Ländern (SHARE 2021–2022) mit logistischer Regression zu Assoziation zwischen informeller außerhäuslicher Betreuung und selbstberichteter kardiovaskulärer Erkrankung.</w:t>
      </w:r>
    </w:p>
    <w:p>
      <w:r>
        <w:rPr>
          <w:b/>
        </w:rPr>
        <w:t xml:space="preserve">Ergebnis: </w:t>
      </w:r>
      <w:r>
        <w:t>Unter 16.178 informellen Betreuern (25,7%) Prävalenz kardiovaskulärer Erkrankung 8,8% vs. 12,8% bei Nicht-Betreuern. Im confounding-adjustierten Modell: OR=0,85 (95%-KI: 0,78–0,93) für niedrigeres Risiko durch Betreuung. E-Wert=1,39 (Robustheit gegenüber unmessbarer Verwirrung begrenzt). Assoziation persistierte nach Ausschluss von Pflegeempfängern und Personen mit funktionalen Einschränkungen, schwächte sich ab nach Ausschluss schlechter Selbstgesundheitseinschätzung. Befund legt Selektionseffekt nahe, keine Kausalität etablierbar.</w:t>
      </w:r>
    </w:p>
    <w:p>
      <w:r>
        <w:rPr>
          <w:b/>
          <w:sz w:val="19"/>
        </w:rPr>
        <w:t xml:space="preserve">Übertragbarkeit: </w:t>
      </w:r>
      <w:r>
        <w:rPr>
          <w:sz w:val="19"/>
        </w:rPr>
        <w:t>27 europäische Länder (SHARE); vergleichbare Langzeitversorgungslandschaft; Befund warnt vor Überschätzung des 'Pflegenschutzes'.</w:t>
      </w:r>
    </w:p>
    <w:p>
      <w:r>
        <w:rPr>
          <w:color w:val="5A7D3A"/>
          <w:sz w:val="18"/>
        </w:rPr>
        <w:t>https://pubmed.ncbi.nlm.nih.gov/42853871/</w:t>
      </w:r>
    </w:p>
    <w:p>
      <w:pPr>
        <w:pStyle w:val="Heading2"/>
      </w:pPr>
      <w:r>
        <w:t>Haltung zu spiritueller Versorgung: Was sich in 20 Jahren in einer Onkologieklinik änderte</w:t>
      </w:r>
    </w:p>
    <w:p>
      <w:r>
        <w:rPr>
          <w:i/>
          <w:color w:val="666666"/>
          <w:sz w:val="18"/>
        </w:rPr>
        <w:t>Lundmark M et al.  ·  J Nurs Manag  ·  2026  ·  PMID 42808290</w:t>
      </w:r>
    </w:p>
    <w:p>
      <w:r>
        <w:t>Längsschnitt-Fragebogenstudie einer schwedischen Onkologieklinik 2003 und 2023 (20 Jahre); getestete Assoziation zwischen persönlichen Merkmalen (Religiosität, Glaube) und Haltung zu spiritueller Versorgung von Krebspatienten.</w:t>
      </w:r>
    </w:p>
    <w:p>
      <w:r>
        <w:rPr>
          <w:b/>
        </w:rPr>
        <w:t xml:space="preserve">Ergebnis: </w:t>
      </w:r>
      <w:r>
        <w:t>Pflegekräfte äußerten positive Haltung zu spiritueller Versorgung in beiden Befragungen. 2023 mehr Personal betrachtete Spiritualbedarf als relevant (Unterschied nicht beziffert). Keine großen Unterschiede in Selbsteinschätzung von Häufigkeit, Fähigkeit und Häufigkeit spiritueller Versorgungserbringung. Bildung darin 2003 wie 2023 als wichtig beurteilt, aber Weiterbildungsquote 2023 gesunken. Einflussfaktoren: 'organisierte Religiosität' 2003 mit Fähigkeit assoziiert (signifikant), 'nicht-organisierte Religiosität' 2023 mit Fähigkeit assoziiert (signifikant). Weitere Faktoren von 2003 verloren Relevanz bis 2023.</w:t>
      </w:r>
    </w:p>
    <w:p>
      <w:r>
        <w:rPr>
          <w:b/>
          <w:sz w:val="19"/>
        </w:rPr>
        <w:t xml:space="preserve">Übertragbarkeit: </w:t>
      </w:r>
      <w:r>
        <w:rPr>
          <w:sz w:val="19"/>
        </w:rPr>
        <w:t>Schweden, langzeitliche Perspektive; zeigt: gesellschaftliche Säkularisierung formt Pflegefachkulturen um.</w:t>
      </w:r>
    </w:p>
    <w:p>
      <w:r>
        <w:rPr>
          <w:color w:val="5A7D3A"/>
          <w:sz w:val="18"/>
        </w:rPr>
        <w:t>https://pubmed.ncbi.nlm.nih.gov/42808290/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Pflege und Langzeitversorgung</dc:title>
  <dc:subject/>
  <dc:creator>Monitor Versorgungsforschung</dc:creator>
  <cp:keywords/>
  <dc:description>generated by python-docx</dc:description>
  <cp:lastModifiedBy/>
  <cp:revision>1</cp:revision>
  <dcterms:created xsi:type="dcterms:W3CDTF">2026-10-15T06:00:00Z</dcterms:created>
  <dcterms:modified xsi:type="dcterms:W3CDTF">2026-10-15T06:00:00Z</dcterms:modified>
  <cp:category/>
</cp:coreProperties>
</file>