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Pflege und Langzeitversorgung</w:t>
      </w:r>
    </w:p>
    <w:p>
      <w:r>
        <w:rPr>
          <w:i/>
          <w:color w:val="666666"/>
          <w:sz w:val="18"/>
        </w:rPr>
        <w:t>Stand: 21.09.2026  |  6 Studien  |  pflege.m-vf.de</w:t>
      </w:r>
    </w:p>
    <w:p>
      <w:pPr>
        <w:pStyle w:val="Heading1"/>
      </w:pPr>
      <w:r>
        <w:t>Aufgenommen am 21.09.2026</w:t>
      </w:r>
    </w:p>
    <w:p>
      <w:pPr>
        <w:pStyle w:val="Heading2"/>
      </w:pPr>
      <w:r>
        <w:t>Wissen und Praxis zu Herztoxizität bei Brustkrebs: Lücken zwischen Onkologie- und Kardiologie-Pflegenden</w:t>
      </w:r>
    </w:p>
    <w:p>
      <w:r>
        <w:rPr>
          <w:i/>
          <w:color w:val="666666"/>
          <w:sz w:val="18"/>
        </w:rPr>
        <w:t>Aoyagi H et al.  ·  Jpn J Nurs Sci  ·  Okt. 2026  ·  PMID 42764206</w:t>
      </w:r>
    </w:p>
    <w:p>
      <w:r>
        <w:t>Online-Befragung von 261 zertifizierten Pflegespezialisten und -fachkräften in Japan (214 Onkologie, 47 Kardiologie) zu Wissen und pflegerischen Praktiken bei krebstherapie-assoziierter Herzdysfunktion (CTRCD).</w:t>
      </w:r>
    </w:p>
    <w:p>
      <w:r>
        <w:rPr>
          <w:b/>
        </w:rPr>
        <w:t xml:space="preserve">Ergebnis: </w:t>
      </w:r>
      <w:r>
        <w:t>Onkologen- und Kardiologie-Pflegende unterschieden sich signifikant in CTRCD-Wissen (p&lt;0,01). Nur 56,8 % der Onkologen-Pflegenden führten Patientenschulung durch, 63,9 % überwachten Symptome. Nur 10,3 % hatten Zugang zu onko-kardiologischen Fortbildungsangeboten. Kardiologische Pflegende berichteten mehr Anfragen/Konsultationen (p&lt;0,05).</w:t>
      </w:r>
    </w:p>
    <w:p>
      <w:r>
        <w:rPr>
          <w:b/>
          <w:sz w:val="19"/>
        </w:rPr>
        <w:t xml:space="preserve">Übertragbarkeit: </w:t>
      </w:r>
      <w:r>
        <w:rPr>
          <w:sz w:val="19"/>
        </w:rPr>
        <w:t>Japan – anderes Gesundheitssystem; aber Befund zu interprofessionellen Lücken in Versorgung ist transferierbar</w:t>
      </w:r>
    </w:p>
    <w:p>
      <w:r>
        <w:rPr>
          <w:color w:val="5A7D3A"/>
          <w:sz w:val="18"/>
        </w:rPr>
        <w:t>https://pubmed.ncbi.nlm.nih.gov/42764206/</w:t>
      </w:r>
    </w:p>
    <w:p>
      <w:pPr>
        <w:pStyle w:val="Heading2"/>
      </w:pPr>
      <w:r>
        <w:t>Pflegeheimtyp und Bewohnersterblichkeit: Australische Langzeitstudie zu Eigentum und Versorgungsergebnis</w:t>
      </w:r>
    </w:p>
    <w:p>
      <w:r>
        <w:rPr>
          <w:i/>
          <w:color w:val="666666"/>
          <w:sz w:val="18"/>
        </w:rPr>
        <w:t>Rahja M et al.  ·  BMJ Open  ·  20.09.2026  ·  PMID 42764187</w:t>
      </w:r>
    </w:p>
    <w:p>
      <w:r>
        <w:t>Retrospektive Kohortenstudie an 205.079 australischen Pflegeheimbewohnern (65+J.), die die Assoziation zwischen Trägerform (privat, gemeinnützig, staatlich) und Mortalität, Notaufnahmen sowie Krankenhauseinweisungen im ersten Jahr nach Aufnahme untersuchte.</w:t>
      </w:r>
    </w:p>
    <w:p>
      <w:r>
        <w:rPr>
          <w:b/>
        </w:rPr>
        <w:t xml:space="preserve">Ergebnis: </w:t>
      </w:r>
      <w:r>
        <w:t>Bewohner von privaten Heimen in Regionalgebieten hatten höhere Mortalität als in gemeinnützigen Heimen (HR 1,17, KI 1,09–1,26). In staatlichen Heimen waren Notaufnahmen und Krankenhauseinweisungen deutlich seltener (sHR 0,68 bzw. 0,61 gegenüber gemeinnützigen). Unterschiede waren in inneren Regionalgebieten am stärksten ausgeprägt.</w:t>
      </w:r>
    </w:p>
    <w:p>
      <w:r>
        <w:rPr>
          <w:b/>
          <w:sz w:val="19"/>
        </w:rPr>
        <w:t xml:space="preserve">Übertragbarkeit: </w:t>
      </w:r>
      <w:r>
        <w:rPr>
          <w:sz w:val="19"/>
        </w:rPr>
        <w:t>Australische Registerdata; Ergebnisse nicht direkt auf deutsches Gesamtumlagesystem übertragbar, aber relevant für Trägerdebatten</w:t>
      </w:r>
    </w:p>
    <w:p>
      <w:r>
        <w:rPr>
          <w:color w:val="5A7D3A"/>
          <w:sz w:val="18"/>
        </w:rPr>
        <w:t>https://pubmed.ncbi.nlm.nih.gov/42764187/</w:t>
      </w:r>
    </w:p>
    <w:p>
      <w:pPr>
        <w:pStyle w:val="Heading2"/>
      </w:pPr>
      <w:r>
        <w:t>Psychisches Wohlbefinden und Zugehörigkeitsgefühl schützen Pflegende vor stiller Kündigung</w:t>
      </w:r>
    </w:p>
    <w:p>
      <w:r>
        <w:rPr>
          <w:i/>
          <w:color w:val="666666"/>
          <w:sz w:val="18"/>
        </w:rPr>
        <w:t>Yeh SJ et al.  ·  J Nurs Manag  ·  2026  ·  PMID 42760768</w:t>
      </w:r>
    </w:p>
    <w:p>
      <w:r>
        <w:t>Dreiwellen-Befragung von 997 Pflegefachpersonen (multigenerational) über die Mechanismen, über die psychisches Wohlbefinden durch Person-Gruppen-Passung (Person-Group Fit) mit stiller Kündigung verbunden ist (Einschränkung auf Minimum-Leistung im Job).</w:t>
      </w:r>
    </w:p>
    <w:p>
      <w:r>
        <w:rPr>
          <w:b/>
        </w:rPr>
        <w:t xml:space="preserve">Ergebnis: </w:t>
      </w:r>
      <w:r>
        <w:t>Psychisches Wohlbefinden wirkte direkt und indirekt (über Person-Gruppen-Passung) negativ auf stille Kündigung. Generationelle Unterschiede in dieser indirekten Wirkung waren nicht signifikant (Index der moderierten Mediation nicht signifikant). Effektgrößen waren moderat; Effekte sollten vorsichtig interpretiert werden.</w:t>
      </w:r>
    </w:p>
    <w:p>
      <w:r>
        <w:rPr>
          <w:b/>
          <w:sz w:val="19"/>
        </w:rPr>
        <w:t xml:space="preserve">Übertragbarkeit: </w:t>
      </w:r>
      <w:r>
        <w:rPr>
          <w:sz w:val="19"/>
        </w:rPr>
        <w:t>Taiwan (Datengrundlage) – anderes Kontextsystem; aber Befund zu Wellbeing-Messung und Engagement-Problematik relevant</w:t>
      </w:r>
    </w:p>
    <w:p>
      <w:r>
        <w:rPr>
          <w:color w:val="5A7D3A"/>
          <w:sz w:val="18"/>
        </w:rPr>
        <w:t>https://pubmed.ncbi.nlm.nih.gov/42760768/</w:t>
      </w:r>
    </w:p>
    <w:p>
      <w:pPr>
        <w:pStyle w:val="Heading2"/>
      </w:pPr>
      <w:r>
        <w:t>Ästhetik-Schulung für Psychiatrie-Pflegende: Wirkung auf Mitgefühl und Pflegequality</w:t>
      </w:r>
    </w:p>
    <w:p>
      <w:r>
        <w:rPr>
          <w:i/>
          <w:color w:val="666666"/>
          <w:sz w:val="18"/>
        </w:rPr>
        <w:t>Balideh D et al.  ·  Nurs Open  ·  Sept. 2026  ·  PMID 42758937</w:t>
      </w:r>
    </w:p>
    <w:p>
      <w:r>
        <w:t>Quasi-experimentelle Studie mit 90 Psychiatrie-Pflegenden (45 Intervention, 45 Kontrolle), bei der vier wöchentliche 90-Minuten-Module zu Ästhetik der Pflegearbeit deren Mitgefühls-Kompetenz und ästhetische Pflegequalität verändert.</w:t>
      </w:r>
    </w:p>
    <w:p>
      <w:r>
        <w:rPr>
          <w:b/>
        </w:rPr>
        <w:t xml:space="preserve">Ergebnis: </w:t>
      </w:r>
      <w:r>
        <w:t>Interventionsgruppe steigerte mittlere ästhetische Pflegequality von 43,26 (SD 2,18) auf 81,02 (SD 6,26) vs. Kontrolle ohne Änderung (p&lt;0,001). Mitgefühls-Kompetenz stieg in Intervention auf 60,73 (SD 16,17) vs. Kontrolle (p&lt;0,001). Kontrollgruppe zeigte keine Veränderung (p=0,12).</w:t>
      </w:r>
    </w:p>
    <w:p>
      <w:r>
        <w:rPr>
          <w:b/>
          <w:sz w:val="19"/>
        </w:rPr>
        <w:t xml:space="preserve">Übertragbarkeit: </w:t>
      </w:r>
      <w:r>
        <w:rPr>
          <w:sz w:val="19"/>
        </w:rPr>
        <w:t>Iran – Universitätskrankenhaus; Transferierbarkeit der Schulungsmaßnahmen begrenzt</w:t>
      </w:r>
    </w:p>
    <w:p>
      <w:r>
        <w:rPr>
          <w:color w:val="5A7D3A"/>
          <w:sz w:val="18"/>
        </w:rPr>
        <w:t>https://pubmed.ncbi.nlm.nih.gov/42758937/</w:t>
      </w:r>
    </w:p>
    <w:p>
      <w:pPr>
        <w:pStyle w:val="Heading2"/>
      </w:pPr>
      <w:r>
        <w:t>Umfassende Pflegeinterventionen bei Adenomyose: Wirkung auf Schmerz und Lebensqualität</w:t>
      </w:r>
    </w:p>
    <w:p>
      <w:r>
        <w:rPr>
          <w:i/>
          <w:color w:val="666666"/>
          <w:sz w:val="18"/>
        </w:rPr>
        <w:t>Zhu W et al.  ·  Front Public Health  ·  03.09.2026  ·  PMID 42756955</w:t>
      </w:r>
    </w:p>
    <w:p>
      <w:r>
        <w:t>Prospektive Kohortenstudie mit 120 Frauen nach Hysterektomie wegen Adenomyose, die untersucht, wie zusätzliche pflegerische Interventionen über Routine hinaus Schmerz, Erholung und sexuelle Lebensqualität verändern.</w:t>
      </w:r>
    </w:p>
    <w:p>
      <w:r>
        <w:rPr>
          <w:b/>
        </w:rPr>
        <w:t xml:space="preserve">Ergebnis: </w:t>
      </w:r>
      <w:r>
        <w:t>Frauen mit umfassenden Interventionen hatten niedrigere Schmerzwerte (p&lt;0,05), kürzere Krankenhausaufenthalte, frühere Mobilisierung und signifikant höhere sexuelle Lebensqualität (FSFI) sowie bessere psychische Gesundheit (SAS/SDS). Pflegezufriedenheit war deutlich höher (p&lt;0,05).</w:t>
      </w:r>
    </w:p>
    <w:p>
      <w:r>
        <w:rPr>
          <w:b/>
          <w:sz w:val="19"/>
        </w:rPr>
        <w:t xml:space="preserve">Übertragbarkeit: </w:t>
      </w:r>
      <w:r>
        <w:rPr>
          <w:sz w:val="19"/>
        </w:rPr>
        <w:t>China – Hochschul-Krankenhaus; Vergleichbarkeit der Pflegemaßnahmen gering</w:t>
      </w:r>
    </w:p>
    <w:p>
      <w:r>
        <w:rPr>
          <w:color w:val="5A7D3A"/>
          <w:sz w:val="18"/>
        </w:rPr>
        <w:t>https://pubmed.ncbi.nlm.nih.gov/42756955/</w:t>
      </w:r>
    </w:p>
    <w:p>
      <w:pPr>
        <w:pStyle w:val="Heading2"/>
      </w:pPr>
      <w:r>
        <w:t>Hebammenausbildung: Kompetenzlücken bei Geburtshilfekern-Inhalten und psychische Belastung am Ende des Studiums</w:t>
      </w:r>
    </w:p>
    <w:p>
      <w:r>
        <w:rPr>
          <w:i/>
          <w:color w:val="666666"/>
          <w:sz w:val="18"/>
        </w:rPr>
        <w:t>Søndergaard SR et al.  ·  Sex Reprod Healthc  ·  12.08.2026  ·  PMID 42617203</w:t>
      </w:r>
    </w:p>
    <w:p>
      <w:r>
        <w:t>Befragung von 158 dänischen Hebammen zum Abschluss ihrer Ausbildung über wahrgenommene Kompetenz, Wichtigkeit klinischer Fähigkeiten und Unterstützung durch Lernumgebung; 33,5 % zeigten Risiko für Stress oder Depression nach WHO-5-Score.</w:t>
      </w:r>
    </w:p>
    <w:p>
      <w:r>
        <w:rPr>
          <w:b/>
        </w:rPr>
        <w:t xml:space="preserve">Ergebnis: </w:t>
      </w:r>
      <w:r>
        <w:t>Hebammen bewerteten medizinische Kompetenzen hoch, aber grundlegende Hebammen-Kompetenzen wie flexible Gebärpositionen, nicht-pharmakologische Schmerzlinderung und Dammnaht niedrig – trotz wahrgenommener Wichtigkeit. Wo Kompetenz niedrig bewertet wurde, fehlte oft Unterstützung durch Lernumgebung.</w:t>
      </w:r>
    </w:p>
    <w:p>
      <w:r>
        <w:rPr>
          <w:b/>
          <w:sz w:val="19"/>
        </w:rPr>
        <w:t xml:space="preserve">Übertragbarkeit: </w:t>
      </w:r>
      <w:r>
        <w:rPr>
          <w:sz w:val="19"/>
        </w:rPr>
        <w:t>Dänemark – vergleichbare EU-Hebammenausbildung und -Regelwerk</w:t>
      </w:r>
    </w:p>
    <w:p>
      <w:r>
        <w:rPr>
          <w:color w:val="5A7D3A"/>
          <w:sz w:val="18"/>
        </w:rPr>
        <w:t>https://pubmed.ncbi.nlm.nih.gov/42617203/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Pflege und Langzeitversorgung</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