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06.09.2026  |  6 Studien  |  pflege.m-vf.de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Akutereignisse im Pflegeheim: Wie Personalressourcen und Organisationsstruktur die Patientensicherheit prägen</w:t>
      </w:r>
    </w:p>
    <w:p>
      <w:r>
        <w:rPr>
          <w:i/>
          <w:color w:val="666666"/>
          <w:sz w:val="18"/>
        </w:rPr>
        <w:t>Rudebeck TL et al.  ·  Scand J Caring Sci  ·  Sept. 2026  ·  PMID 42698201</w:t>
      </w:r>
    </w:p>
    <w:p>
      <w:r>
        <w:t>Qualitative Feldbeobachtungsstudie (180 Stunden, 38 akute Ereignisse) in vier dänischen Pflegeheimen zur Erfassung von Erkennung und Management akuter Ereignisse bei Bewohnern.</w:t>
      </w:r>
    </w:p>
    <w:p>
      <w:r>
        <w:rPr>
          <w:b/>
        </w:rPr>
        <w:t xml:space="preserve">Ergebnis: </w:t>
      </w:r>
      <w:r>
        <w:t>Akutereignisse werden durch Personalbemessung, Ressourcenausstattung und sektorenübergreifende Zusammenarbeit geprägt, nicht allein durch Patientenbedarf: Strukturelle Vulnerabilität gefährdet Autonomie und Integrität der Bewohner.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 Pflegekontexte und Versorgungsherausforderungen</w:t>
      </w:r>
    </w:p>
    <w:p>
      <w:r>
        <w:rPr>
          <w:color w:val="5A7D3A"/>
          <w:sz w:val="18"/>
        </w:rPr>
        <w:t>https://pubmed.ncbi.nlm.nih.gov/42698201/</w:t>
      </w:r>
    </w:p>
    <w:p>
      <w:pPr>
        <w:pStyle w:val="Heading2"/>
      </w:pPr>
      <w:r>
        <w:t>Simulationstraining statt Patientenbetreuung: gleichwertiges Lernresultat bei Pflegestudierenden</w:t>
      </w:r>
    </w:p>
    <w:p>
      <w:r>
        <w:rPr>
          <w:i/>
          <w:color w:val="666666"/>
          <w:sz w:val="18"/>
        </w:rPr>
        <w:t>Prothero L et al.  ·  Nurs Open  ·  Sept. 2026  ·  PMID 42698106</w:t>
      </w:r>
    </w:p>
    <w:p>
      <w:r>
        <w:t>Systematischer Review mit Meta-Analyse (42 Studien, 5.336 Studierende) zu Effektivität von Simulationstraining allein oder kombiniert mit Klientenkontakt gegenüber reiner Klientenbetreuung.</w:t>
      </w:r>
    </w:p>
    <w:p>
      <w:r>
        <w:rPr>
          <w:b/>
        </w:rPr>
        <w:t xml:space="preserve">Ergebnis: </w:t>
      </w:r>
      <w:r>
        <w:t>Vergleich 1 (Simulation vs. klinische Lehre): SMD=0,96 (95%-KI 0,63–1,30); Vergleich 2 (Simulation+Klinik vs. Klinik allein): SMD=0,82 (95%-KI 0,49–1,15). Alle 42 Studien berichten gute oder bessere Ergebnisse für Simulation.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internationale Studien zu Lehr-/Lernergebnissen</w:t>
      </w:r>
    </w:p>
    <w:p>
      <w:r>
        <w:rPr>
          <w:color w:val="5A7D3A"/>
          <w:sz w:val="18"/>
        </w:rPr>
        <w:t>https://pubmed.ncbi.nlm.nih.gov/42698106/</w:t>
      </w:r>
    </w:p>
    <w:p>
      <w:pPr>
        <w:pStyle w:val="Heading2"/>
      </w:pPr>
      <w:r>
        <w:t>Sozioökonomische Barrieren beim Zugang zur Pflegeversicherung: wann beantragen Ältere Leistungen?</w:t>
      </w:r>
    </w:p>
    <w:p>
      <w:r>
        <w:rPr>
          <w:i/>
          <w:color w:val="666666"/>
          <w:sz w:val="18"/>
        </w:rPr>
        <w:t>Noh JW et al.  ·  BMC Health Serv Res  ·  06.08.2026  ·  PMID 42698085</w:t>
      </w:r>
    </w:p>
    <w:p>
      <w:r>
        <w:t>Deskriptive Analyse von 1,07 Millionen Erwachsenen (2008–2022) zu Alter bei Antrag und Genehmigung für Koreas Pflegeversicherung und zum Einfluss von Einkommen, Versicherungstyp und Morbidität.</w:t>
      </w:r>
    </w:p>
    <w:p>
      <w:r>
        <w:rPr>
          <w:b/>
        </w:rPr>
        <w:t xml:space="preserve">Ergebnis: </w:t>
      </w:r>
      <w:r>
        <w:t>Durchschnittliches Antrittsalter 79,98 Jahre (Genehmigung 80,95), deutlich über initialer Anspruchsberechtigung (65 Jahre). Frauen, chronisch weniger Erkrankte und Angehörige höchsten/niedrigsten Einkommensdezils traten später ein; Medical-Aid-Bezieher früher. Struktur- und Informationshindernisse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vergleichbares Versicherungssystem mit Teilkasko-Logik</w:t>
      </w:r>
    </w:p>
    <w:p>
      <w:r>
        <w:rPr>
          <w:color w:val="5A7D3A"/>
          <w:sz w:val="18"/>
        </w:rPr>
        <w:t>https://pubmed.ncbi.nlm.nih.gov/42698085/</w:t>
      </w:r>
    </w:p>
    <w:p>
      <w:pPr>
        <w:pStyle w:val="Heading2"/>
      </w:pPr>
      <w:r>
        <w:t>Achtsamkeit und Selbstmitgefühl reduzieren Burnout-Symptome bei klinischen Pflegenden</w:t>
      </w:r>
    </w:p>
    <w:p>
      <w:r>
        <w:rPr>
          <w:i/>
          <w:color w:val="666666"/>
          <w:sz w:val="18"/>
        </w:rPr>
        <w:t>Öztürk Y et al.  ·  Rev Esc Enferm USP  ·  28.08.2026  ·  PMID 42696751</w:t>
      </w:r>
    </w:p>
    <w:p>
      <w:r>
        <w:t>Querschnittstudie mit 220 Pflegenden in öffentlichem Spital (März–Juni 2024) zu Beziehungen zwischen Achtsamkeit, Selbstmitgefühl und Compassion Fatigue mittels Korrelations- und Regressionsanalysen.</w:t>
      </w:r>
    </w:p>
    <w:p>
      <w:r>
        <w:rPr>
          <w:b/>
        </w:rPr>
        <w:t xml:space="preserve">Ergebnis: </w:t>
      </w:r>
      <w:r>
        <w:t>Achtsamkeit (M=61,78±11,29) korreliert positiv mit Selbstmitgefühl (r=0,33, p&lt;0,05) und negativ mit Compassion Fatigue (r=−0,34, p&lt;0,05); Selbstmitgefühl korreliert negativ mit Fatigue (r=−0,40, p&lt;0,05). Multiple Regression: Achtsamkeit (β=−0,42) und Selbstmitgefühl (β=−0,96) erklären gemeinsam 21,1% der Fatigue-Varianz.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Krankenhauskontext mit vergleichbaren Burnout-Phänomenen</w:t>
      </w:r>
    </w:p>
    <w:p>
      <w:r>
        <w:rPr>
          <w:color w:val="5A7D3A"/>
          <w:sz w:val="18"/>
        </w:rPr>
        <w:t>https://pubmed.ncbi.nlm.nih.gov/42696751/</w:t>
      </w:r>
    </w:p>
    <w:p>
      <w:pPr>
        <w:pStyle w:val="Heading2"/>
      </w:pPr>
      <w:r>
        <w:t>Führungsverhalten, psychologische Sicherheit und Burnout bei Intensivpflegenden: indirekte Assoziationen</w:t>
      </w:r>
    </w:p>
    <w:p>
      <w:r>
        <w:rPr>
          <w:i/>
          <w:color w:val="666666"/>
          <w:sz w:val="18"/>
        </w:rPr>
        <w:t>Montenegro-Méndez S et al.  ·  Int Nurs Rev  ·  Sept. 2026  ·  PMID 42695137</w:t>
      </w:r>
    </w:p>
    <w:p>
      <w:r>
        <w:t>Querschnittsstudie mit 305 Intensivpflegenden aus Spanien zum Zusammenhang zwischen Secure Base Leadership des Vorgesetzten, organisationaler Dehumanisierung, psychologischer Sicherheit und Burnout.</w:t>
      </w:r>
    </w:p>
    <w:p>
      <w:r>
        <w:rPr>
          <w:b/>
        </w:rPr>
        <w:t xml:space="preserve">Ergebnis: </w:t>
      </w:r>
      <w:r>
        <w:t>Direkte Assoziation zwischen Führungsverhalten und Burnout nicht signifikant; indirekt: Secure Base Leadership reduziert Dehumanisierung (p&lt;0,05) und erhöht psychologische Sicherheit, was Burnout senkt und Work Engagement erhöht. Modell erklärt 20% der Burnout-Varianz.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 Klinikstruktur und Personalherausforderungen</w:t>
      </w:r>
    </w:p>
    <w:p>
      <w:r>
        <w:rPr>
          <w:color w:val="5A7D3A"/>
          <w:sz w:val="18"/>
        </w:rPr>
        <w:t>https://pubmed.ncbi.nlm.nih.gov/42695137/</w:t>
      </w:r>
    </w:p>
    <w:p>
      <w:pPr>
        <w:pStyle w:val="Heading2"/>
      </w:pPr>
      <w:r>
        <w:t>Nachhaltigkeit und Klimabewusstsein bei Pflegenden: Einstellung und Barrieren zur Implementierung</w:t>
      </w:r>
    </w:p>
    <w:p>
      <w:r>
        <w:rPr>
          <w:i/>
          <w:color w:val="666666"/>
          <w:sz w:val="18"/>
        </w:rPr>
        <w:t>Flynn A et al.  ·  J Nurs Manag  ·  2026  ·  PMID 42670663</w:t>
      </w:r>
    </w:p>
    <w:p>
      <w:r>
        <w:t>Querschnittsbefragung (256 Pflegende und Hebammen, SANS-2-Instrument) zu Haltungen zur Nachhaltigkeit und wahrgenommenen Hindernissen für nachhaltige Praktiken in Pflege- und Hebammentätigkeit.</w:t>
      </w:r>
    </w:p>
    <w:p>
      <w:r>
        <w:rPr>
          <w:b/>
        </w:rPr>
        <w:t xml:space="preserve">Ergebnis: </w:t>
      </w:r>
      <w:r>
        <w:t>78% sehen Klimawandel, 87,1% Nachhaltigkeit als wichtig; 68,8% bzw. 77,7% befürworten curriculare Integration. 84,4% wenden Nachhaltigkeitsprinzipien zuhause an, aber nur 53,5% in der Berufspraxis (p&lt;0,001). Hierarchische Strukturen und fehlende Selbstsicherheit hemmen 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UK, Deutschland – europäische NHS- und Gesundheitssysteme</w:t>
      </w:r>
    </w:p>
    <w:p>
      <w:r>
        <w:rPr>
          <w:color w:val="5A7D3A"/>
          <w:sz w:val="18"/>
        </w:rPr>
        <w:t>https://pubmed.ncbi.nlm.nih.gov/42670663/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