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06.09.2026  |  87 Studien  |  pflege.m-vf.de</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 xml:space="preserve"> Akzeptanz- und Commitment-Therapie für pflegende Angehörige: was verbessert sich an ihrer Belastung?</w:t>
      </w:r>
    </w:p>
    <w:p>
      <w:r>
        <w:rPr>
          <w:i/>
          <w:color w:val="666666"/>
          <w:sz w:val="18"/>
        </w:rPr>
        <w:t>Teng L et al.  ·  Medicine (Baltimore)  ·  28.08.2026  ·  PMID 42675746</w:t>
      </w:r>
    </w:p>
    <w:p>
      <w:r>
        <w:t xml:space="preserve"> Randomisierte kontrollierte Studie mit 106 pflegenden Angehörigen von Stoma-Patienten in China, Vergleich: ACT (12 Wochen, n=53) versus Standardpflege (n=53).</w:t>
      </w:r>
    </w:p>
    <w:p>
      <w:r>
        <w:rPr>
          <w:b/>
        </w:rPr>
        <w:t xml:space="preserve">Ergebnis: </w:t>
      </w:r>
      <w:r>
        <w:t xml:space="preserve"> 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 xml:space="preserve"> Pflegefachkräfte im Case Management ambulanter älterer Menschen: was bewirkt es wirklich?</w:t>
      </w:r>
    </w:p>
    <w:p>
      <w:r>
        <w:rPr>
          <w:i/>
          <w:color w:val="666666"/>
          <w:sz w:val="18"/>
        </w:rPr>
        <w:t>Mieda K et al.  ·  Int J Older People Nurs  ·  Sept. 2026  ·  PMID 42675567</w:t>
      </w:r>
    </w:p>
    <w:p>
      <w:r>
        <w:t xml:space="preserve"> Systematischer Review und Metaanalyse von 15 RCTs mit 7995 älteren Menschen zu Case-Management-Interventionen durch Pflegefachkräfte versus Standardversorgung.</w:t>
      </w:r>
    </w:p>
    <w:p>
      <w:r>
        <w:rPr>
          <w:b/>
        </w:rPr>
        <w:t xml:space="preserve">Ergebnis: </w:t>
      </w:r>
      <w:r>
        <w:t xml:space="preserve"> 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 xml:space="preserve"> 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 xml:space="preserve"> Kontinuitätsmodelle in Hebammenhilfe: bessere Betreuung bei Geburtsangst – was Frauen bewirkt und was sie verspricht</w:t>
      </w:r>
    </w:p>
    <w:p>
      <w:r>
        <w:rPr>
          <w:i/>
          <w:color w:val="666666"/>
          <w:sz w:val="18"/>
        </w:rPr>
        <w:t>Hildingsson I et al.  ·  Midwifery  ·  11.08.2026  ·  PMID 42612586</w:t>
      </w:r>
    </w:p>
    <w:p>
      <w:r>
        <w:t xml:space="preserve"> 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 xml:space="preserve"> 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 xml:space="preserve"> Mobile Health in Palliativpflege zu Hause: wie mHealth funktioniert – und was es braucht</w:t>
      </w:r>
    </w:p>
    <w:p>
      <w:r>
        <w:rPr>
          <w:i/>
          <w:color w:val="666666"/>
          <w:sz w:val="18"/>
        </w:rPr>
        <w:t>Gebre NT et al.  ·  JMIR Mhealth Uhealth  ·  14.08.2026  ·  PMID 42600073</w:t>
      </w:r>
    </w:p>
    <w:p>
      <w:r>
        <w:t xml:space="preserve"> Realist Review mit 126 eingeschlossenen Studien zu Kontextfaktoren und Mechanismen, die beeinflussen, wie mHealth-Interventionen in der Palliativpflege zu Hause Ergebnisse erzielen.</w:t>
      </w:r>
    </w:p>
    <w:p>
      <w:r>
        <w:rPr>
          <w:b/>
        </w:rPr>
        <w:t xml:space="preserve">Ergebnis: </w:t>
      </w:r>
      <w:r>
        <w:t xml:space="preserve"> 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 xml:space="preserve"> 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