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14.10.2026  |  6 Studien  |  pflege.m-vf.de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Soziale Unterstützung und Widerstandskraft: wie sie die Belastung pflegender Eltern mindert</w:t>
      </w:r>
    </w:p>
    <w:p>
      <w:r>
        <w:rPr>
          <w:i/>
          <w:color w:val="666666"/>
          <w:sz w:val="18"/>
        </w:rPr>
        <w:t>Hong W et al.  ·  Nurs Open  ·  Okt. 2026  ·  PMID 42868269</w:t>
      </w:r>
    </w:p>
    <w:p>
      <w:r>
        <w:t>Chinesische Querschnittsstudie mit 233 Eltern von Kindern mit Frakturen untersuchte, ob Resilienz einen indirekten Weg zwischen sozialer Unterstützung und Pflegebelastung vermittelt.</w:t>
      </w:r>
    </w:p>
    <w:p>
      <w:r>
        <w:rPr>
          <w:b/>
        </w:rPr>
        <w:t xml:space="preserve">Ergebnis: </w:t>
      </w:r>
      <w:r>
        <w:t>Größere soziale Unterstützung war mit höherer Resilienz verbunden (Pearson r signifikant positiv) und niedriger Pflegebelastung (r signifikant negativ). Höhere Resilienz war mit niedrigerer Belastung assoziiert. Strukturgleichungsmodell bestätigte indirekte Assoziation durch Resilienz neben direkter Assoziation zwischen Unterstützung und 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Querschnittsdaten – keine Kausalität nachgewiesen, aber Befund für Assessmentpraxis relevant</w:t>
      </w:r>
    </w:p>
    <w:p>
      <w:r>
        <w:rPr>
          <w:color w:val="5A7D3A"/>
          <w:sz w:val="18"/>
        </w:rPr>
        <w:t>https://pubmed.ncbi.nlm.nih.gov/42868269/</w:t>
      </w:r>
    </w:p>
    <w:p>
      <w:pPr>
        <w:pStyle w:val="Heading2"/>
      </w:pPr>
      <w:r>
        <w:t>Palliativversorgung bei Lungenfibrose: was Patienten und Angehörige brauchen</w:t>
      </w:r>
    </w:p>
    <w:p>
      <w:r>
        <w:rPr>
          <w:i/>
          <w:color w:val="666666"/>
          <w:sz w:val="18"/>
        </w:rPr>
        <w:t>Trapman L et al.  ·  PLoS One  ·  13.10.2026  ·  PMID 42868117</w:t>
      </w:r>
    </w:p>
    <w:p>
      <w:r>
        <w:t>Niederländische qualitative Studie mit 15 Patienten und 10 informellen Betreuern mittels Fokusgruppen und Einzelinterviews zur Erkundung von Erfahrungen und Bedarfen der Palliativversorgung.</w:t>
      </w:r>
    </w:p>
    <w:p>
      <w:r>
        <w:rPr>
          <w:b/>
        </w:rPr>
        <w:t xml:space="preserve">Ergebnis: </w:t>
      </w:r>
      <w:r>
        <w:t>Zwei übergeordnete Themen mit je zwei Unterthemen: (1) ‚Sieh mich als Person' – Patienten suchen Anerkennung jenseits ihrer Krankheit, Empathie, offene Kommunikation, ganzheitliche Versorgung; (2) ‚Leite mich durch die Krankenheitsgeschichte' – Patienten und Angehörige brauchen klare Orientierung und Unterstützung vom Zeitpunkt der Diagnose bis zum Lebensende, einschließlich emotionaler, praktischer und logistischer Aspekte. Lücken in der Versorgung werden offenbar.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qualitativ, aber mit präzisen klinischen Implikationen</w:t>
      </w:r>
    </w:p>
    <w:p>
      <w:r>
        <w:rPr>
          <w:color w:val="5A7D3A"/>
          <w:sz w:val="18"/>
        </w:rPr>
        <w:t>https://pubmed.ncbi.nlm.nih.gov/42868117/</w:t>
      </w:r>
    </w:p>
    <w:p>
      <w:pPr>
        <w:pStyle w:val="Heading2"/>
      </w:pPr>
      <w:r>
        <w:t>Häusliche Pflege für Kinder mit Atemunterstützung: wie Fachkräfte zwischen Regeln und Bedarf vermitteln</w:t>
      </w:r>
    </w:p>
    <w:p>
      <w:r>
        <w:rPr>
          <w:i/>
          <w:color w:val="666666"/>
          <w:sz w:val="18"/>
        </w:rPr>
        <w:t>Florén J et al.  ·  Nurs Inq  ·  Okt. 2026  ·  PMID 42867312</w:t>
      </w:r>
    </w:p>
    <w:p>
      <w:r>
        <w:t>Schwedische phänomenologisch-hermeneutische Studie mit Interviews zu Erfahrungen von Fachleuten (in Sozialwesen, Gesundheit), die Entscheidungen zum Entlassmanagement und zur Umsetzung häuslicher Versorgung von Kindern mit invasiver Atemunterstützung koordinieren.</w:t>
      </w:r>
    </w:p>
    <w:p>
      <w:r>
        <w:rPr>
          <w:b/>
        </w:rPr>
        <w:t xml:space="preserve">Ergebnis: </w:t>
      </w:r>
      <w:r>
        <w:t>Vier übergeordnete Befunde: (1) Arbeit wird gelebt in Spannungen zwischen Mitgefühl und Regulation, Nähe und Distanz, andauerndem Bedarf und endlichen Ressourcen; (2) formale Sprache, legale Kategorien und organisatorische Grenzen sind zugleich Ermöglichungsstruktur und Begrenzung; (3) Verantwortung zeigt sich als exponiert, über den Entscheidungsmoment hinaus ausgedehnt in ein anderswo sich entfaltendes Leben; (4) Institutionen müssen nicht nur Gerechtigkeit, sondern auch gute Versorgung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empirisch-qualitativ; Befund zu Systemspannungen zwischen Regulation und guter Pflege universell</w:t>
      </w:r>
    </w:p>
    <w:p>
      <w:r>
        <w:rPr>
          <w:color w:val="5A7D3A"/>
          <w:sz w:val="18"/>
        </w:rPr>
        <w:t>https://pubmed.ncbi.nlm.nih.gov/42867312/</w:t>
      </w:r>
    </w:p>
    <w:p>
      <w:pPr>
        <w:pStyle w:val="Heading2"/>
      </w:pPr>
      <w:r>
        <w:t>Krankenhausqualität, Führungsansprache und moralische Belastung von Pflegenden: wie Leadership Distress mindert</w:t>
      </w:r>
    </w:p>
    <w:p>
      <w:r>
        <w:rPr>
          <w:i/>
          <w:color w:val="666666"/>
          <w:sz w:val="18"/>
        </w:rPr>
        <w:t>Yu H et al.  ·  J Nurs Scholarsh  ·  Nov. 2026  ·  PMID 42867062</w:t>
      </w:r>
    </w:p>
    <w:p>
      <w:r>
        <w:t>US-amerikanische Querschnittsstudie mit 18.678 direkten Pflegekräften aus 1.829 Krankenhäusern in zehn Bundesstaaten untersuchte, ob Ansprechbarkeit des Managements bei Patientenversorgungsanliegen den Zusammenhang zwischen Magnet-Status der Klinik und moralischer Belastung (Moral Distress) vermittelt.</w:t>
      </w:r>
    </w:p>
    <w:p>
      <w:r>
        <w:rPr>
          <w:b/>
        </w:rPr>
        <w:t xml:space="preserve">Ergebnis: </w:t>
      </w:r>
      <w:r>
        <w:t>Pflegefachkräfte in Magnet-Krankenhäusern berichteten niedrigere moralische Belastung und bessere Einschätzung der Managementerreichbarkeit als Kolleginnen in Nicht-Magnet-Häusern. Auf Krankenhausebene: Magnet-Status mit höherer Managementerreichbarkeit assoziiert (b=0,18, 95%-CI 0,15–0,21, p&lt;0,001); höhere Managementerreichbarkeit mit niedrigerem Moral Distress (b=−0,31, 95%-CI −0,39 bis −0,23, p&lt;0,001). Managementerreichbarkeit vermittelte statistisch signifikant einen Teil der Assoziation zwischen Magnet-Status und Moral Distress (indirekte Assoziation: b=−0,06, Monte-Carlo 95%-CI −0,08 bis −0,04,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aber Leadership-Responsiveness und Moral Distress sind systemübergreifende Phänomene; deutsches Äquivalent: Anerkennung durch Vorgesetzte</w:t>
      </w:r>
    </w:p>
    <w:p>
      <w:r>
        <w:rPr>
          <w:color w:val="5A7D3A"/>
          <w:sz w:val="18"/>
        </w:rPr>
        <w:t>https://pubmed.ncbi.nlm.nih.gov/42867062/</w:t>
      </w:r>
    </w:p>
    <w:p>
      <w:pPr>
        <w:pStyle w:val="Heading2"/>
      </w:pPr>
      <w:r>
        <w:t>Schwangerschaftsverlust bei Hebammen und Entbindungspflegerinnen: Erleben, Trauer und Rückkehr zur Arbeit</w:t>
      </w:r>
    </w:p>
    <w:p>
      <w:r>
        <w:rPr>
          <w:i/>
          <w:color w:val="666666"/>
          <w:sz w:val="18"/>
        </w:rPr>
        <w:t>Abuhammad S et al.  ·  Nurs Open  ·  Okt. 2026  ·  PMID 42864828</w:t>
      </w:r>
    </w:p>
    <w:p>
      <w:r>
        <w:t>Qualitative phänomenologische Studie mit 20 Hebammen und Entbindungspflegerinnen in Jordanien, die einen Schwangerschaftsverlust erlebt hatten, untersuchte die Auswirkungen auf ihre Berufstätigkeit, Trauer und Entscheidungen zur zukünftigen Schwangerschaft.</w:t>
      </w:r>
    </w:p>
    <w:p>
      <w:r>
        <w:rPr>
          <w:b/>
        </w:rPr>
        <w:t xml:space="preserve">Ergebnis: </w:t>
      </w:r>
      <w:r>
        <w:t>Vier Themen: ungerwarteter Verlust, körperlich-psychisches Leiden, Trauer während der Pflegearbeit (Schwierigkeiten mit Offenbarung und Kollegenstützung), Versuch, erneut schwanger zu werden – mit Angst. Die Studie zeigt, dass Fachkräfte in denselben Kliniken arbeiten müssen, die ihren Verlust widerspiegeln – Arbeitsflexibilität, Kollegenstützung und kulturell sensible Anerkennung der Trauer sind essentiell.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Jordanien, qualitatives Design; Befunde zur Unterstützung berufstätiger Pflegender nach Trauer übertragbar</w:t>
      </w:r>
    </w:p>
    <w:p>
      <w:r>
        <w:rPr>
          <w:color w:val="5A7D3A"/>
          <w:sz w:val="18"/>
        </w:rPr>
        <w:t>https://pubmed.ncbi.nlm.nih.gov/42864828/</w:t>
      </w:r>
    </w:p>
    <w:p>
      <w:pPr>
        <w:pStyle w:val="Heading2"/>
      </w:pPr>
      <w:r>
        <w:t>Psychoedukation für Angehörige bei Erstmanifestationen: Entlastungswirkung durch spezialisierte Pflegefachkräfte</w:t>
      </w:r>
    </w:p>
    <w:p>
      <w:r>
        <w:rPr>
          <w:i/>
          <w:color w:val="666666"/>
          <w:sz w:val="18"/>
        </w:rPr>
        <w:t>Caroline D et al.  ·  Int J Ment Health Nurs  ·  Okt. 2026  ·  PMID 42861836</w:t>
      </w:r>
    </w:p>
    <w:p>
      <w:r>
        <w:t>Französische Studie mit schrittweise randomisiertem Design prüfte, ob ein strukturiertes Unterstützungsprogramm (Einzelfamilien- und Multifamilien-Psychoedukation) unter Koordination von Advanced Practice Nurses die Belastung pflegender Angehöriger bei Patienten mit Erstmanifestation einer Psychose innerhalb von 6 Monaten reduziert.</w:t>
      </w:r>
    </w:p>
    <w:p>
      <w:r>
        <w:rPr>
          <w:b/>
        </w:rPr>
        <w:t xml:space="preserve">Ergebnis: </w:t>
      </w:r>
      <w:r>
        <w:t>Hauptergebnis wird in diesem Protokoll noch nicht berichtet; die Studie ist registriert (NCT07041463) und wird derzeit durchgeführt. Geplante Messung: Veränderung der Angehörigenbelastung von Baseline bis 6 Monate.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Versicherungssystem, spezialisierte Pflegefachkräfte in psychiatrischen Diensten</w:t>
      </w:r>
    </w:p>
    <w:p>
      <w:r>
        <w:rPr>
          <w:color w:val="5A7D3A"/>
          <w:sz w:val="18"/>
        </w:rPr>
        <w:t>https://pubmed.ncbi.nlm.nih.gov/42861836/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