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28.10.2026  |  397 Studien  |  pflege.m-vf.de</w:t>
      </w:r>
    </w:p>
    <w:p>
      <w:pPr>
        <w:pStyle w:val="Heading1"/>
      </w:pPr>
      <w:r>
        <w:t>Aufgenommen am 28.10.2026</w:t>
      </w:r>
    </w:p>
    <w:p>
      <w:pPr>
        <w:pStyle w:val="Heading2"/>
      </w:pPr>
      <w:r>
        <w:t>Strukturierter Präventionsalgorithmus reduziert Dekubituswissen-Lücken und medizingeräteassoziierte Druckgeschwüre</w:t>
      </w:r>
    </w:p>
    <w:p>
      <w:r>
        <w:rPr>
          <w:i/>
          <w:color w:val="666666"/>
          <w:sz w:val="18"/>
        </w:rPr>
        <w:t>Zamani Shiva Y et al.  ·  PLoS One  ·  27.10.2026  ·  PMID 42945236</w:t>
      </w:r>
    </w:p>
    <w:p>
      <w:r>
        <w:t>Quasi-experimentelle Vor-Nachher-Studie an 38 Pflegekräften und 77 Patienten (39 vor, 38 nach Intervention) auf einer Intensivstation in Iran zur Einführung eines Dekubitus-Präventionsalgorithmus für medizinische Geräte (MDRPI).</w:t>
      </w:r>
    </w:p>
    <w:p>
      <w:r>
        <w:rPr>
          <w:b/>
        </w:rPr>
        <w:t xml:space="preserve">Ergebnis: </w:t>
      </w:r>
      <w:r>
        <w:t>Pflegewissen stieg hochsignifikant von Mittelwert 57,74 (SD 11,15) auf 89,55 (SD 5,17) (Differenz 31,81, 95%-KI 28,35–35,27, p&lt;0,001, Cohen's d=3,02). MDRPI-Prävalenz sank von 38,5 % (95%-KI 24,9–54,1 %) auf 28,9 % (95%-KI 17–44 %), jedoch nicht statistisch signifikant (χ²=0,82, p=0,365). Stadium-Verteilung vorher: Stadium 1 (28,2 %), Stadium 2 (7,7 %), Stadium 3 (2,6 %); nachher: Stadium 1 (21,1 %), Stadium 2 (5,3 %), kein Stadium 3. Nach Adjustierung zeigte der Algorithmus protektive Assoziation (adjustierte OR=0,42, 95%-KI 0,19–0,91, p=0,026).</w:t>
      </w:r>
    </w:p>
    <w:p>
      <w:r>
        <w:rPr>
          <w:b/>
          <w:sz w:val="19"/>
        </w:rPr>
        <w:t xml:space="preserve">Übertragbarkeit: </w:t>
      </w:r>
      <w:r>
        <w:rPr>
          <w:sz w:val="19"/>
        </w:rPr>
        <w:t>Iran/Klinik – Befund zur Wissensvermittlung und Dekubitusreduktion relevant für deutsches Klinik-Setting und pflegerische Fortbildung</w:t>
      </w:r>
    </w:p>
    <w:p>
      <w:r>
        <w:rPr>
          <w:color w:val="5A7D3A"/>
          <w:sz w:val="18"/>
        </w:rPr>
        <w:t>https://pubmed.ncbi.nlm.nih.gov/42945236/</w:t>
      </w:r>
    </w:p>
    <w:p>
      <w:pPr>
        <w:pStyle w:val="Heading2"/>
      </w:pPr>
      <w:r>
        <w:t>Advance Care Planning: Schulung von Pflegefachpersonen zu Vorsorgegesprächen und Handlungskompetenz</w:t>
      </w:r>
    </w:p>
    <w:p>
      <w:r>
        <w:rPr>
          <w:i/>
          <w:color w:val="666666"/>
          <w:sz w:val="18"/>
        </w:rPr>
        <w:t>Ohashi H et al.  ·  Medicine (Baltimore)  ·  23.10.2026  ·  PMID 42937768</w:t>
      </w:r>
    </w:p>
    <w:p>
      <w:r>
        <w:t>Mixed-Method-Studie: Entwicklung und Implementierung eines ACP-Schulungsprogramms für 82 Pflegefachpersonen aus 5 japanischen Präfekturen (Januar bis September 2019) mit prä-/post-Tests und qualitativen Interviews 3 Monate nach der Schulung.</w:t>
      </w:r>
    </w:p>
    <w:p>
      <w:r>
        <w:rPr>
          <w:b/>
        </w:rPr>
        <w:t xml:space="preserve">Ergebnis: </w:t>
      </w:r>
      <w:r>
        <w:t>Quantitativ: Wissensverbesserungen zur Ersatzentscheidung durch Familie, Verzicht auf Magensonde und Patientenverfügung; reduzierte Schwierigkeit in der Versorgung sterbender Patienten. Qualitativ: 7 post-Themen (Basis-ACP-Wissen, Gesprächskompetenzen, informelle Präferenzermittlung, Beziehungsaufbau, Konsensbildung, Meriten früher Initiierung, Erklärfertigkeiten); 4 Follow-up-Themen (Diskussionsgelegenheiten, Fertigkeiten, Selbstbestimmung, Todesdenken als persönliche Angelegenheit).</w:t>
      </w:r>
    </w:p>
    <w:p>
      <w:r>
        <w:rPr>
          <w:b/>
          <w:sz w:val="19"/>
        </w:rPr>
        <w:t xml:space="preserve">Übertragbarkeit: </w:t>
      </w:r>
      <w:r>
        <w:rPr>
          <w:sz w:val="19"/>
        </w:rPr>
        <w:t>Japan, vergleichbares Langzeitversorgungssystem – Befunde zur Effektivität von Schulung auf Handlungskompetenzen übertragbar auf Deutschland</w:t>
      </w:r>
    </w:p>
    <w:p>
      <w:r>
        <w:rPr>
          <w:color w:val="5A7D3A"/>
          <w:sz w:val="18"/>
        </w:rPr>
        <w:t>https://pubmed.ncbi.nlm.nih.gov/42937768/</w:t>
      </w:r>
    </w:p>
    <w:p>
      <w:pPr>
        <w:pStyle w:val="Heading2"/>
      </w:pPr>
      <w:r>
        <w:t>Schwierige Pflegesituationen in der Wundversorgung: Konflikte, Adhärenzprobleme und ihre Bewältigung</w:t>
      </w:r>
    </w:p>
    <w:p>
      <w:r>
        <w:rPr>
          <w:i/>
          <w:color w:val="666666"/>
          <w:sz w:val="18"/>
        </w:rPr>
        <w:t>Hackert B et al.  ·  Int Wound J  ·  Nov. 2026  ·  PMID 42937005</w:t>
      </w:r>
    </w:p>
    <w:p>
      <w:r>
        <w:t>Qualitative Interviewstudie mit 37 Pflegefachpersonen aus verschiedenen Settings zur Analyse schwieriger Patienten-Pflege-Interaktionen in der chronischen Wundbehandlung.</w:t>
      </w:r>
    </w:p>
    <w:p>
      <w:r>
        <w:rPr>
          <w:b/>
        </w:rPr>
        <w:t xml:space="preserve">Ergebnis: </w:t>
      </w:r>
      <w:r>
        <w:t>Drei Themenkomplexe wurden identifiziert: (1) Konflikte einschließlich Aggression, Gewalt, Beleidigungen und unangemessene Forderungen; (2) Behandlungsresistenz und Adhärenzprobleme; (3) nicht-konfrontative, aber komplexe Situationen mit mehrschichtigen Herausforderungen. Interventionen könnten auf Selbstfürsorge, gewaltfreie Kommunikation und Gesundheitskompetenz abzielen.</w:t>
      </w:r>
    </w:p>
    <w:p>
      <w:r>
        <w:rPr>
          <w:b/>
          <w:sz w:val="19"/>
        </w:rPr>
        <w:t xml:space="preserve">Übertragbarkeit: </w:t>
      </w:r>
      <w:r>
        <w:rPr>
          <w:sz w:val="19"/>
        </w:rPr>
        <w:t>Deutschland, deutschsprachige Wundversorgung – ähnliche Organisationsstrukturen in Klinik und ambulanten Diensten</w:t>
      </w:r>
    </w:p>
    <w:p>
      <w:r>
        <w:rPr>
          <w:color w:val="5A7D3A"/>
          <w:sz w:val="18"/>
        </w:rPr>
        <w:t>https://pubmed.ncbi.nlm.nih.gov/42937005/</w:t>
      </w:r>
    </w:p>
    <w:p>
      <w:pPr>
        <w:pStyle w:val="Heading2"/>
      </w:pPr>
      <w:r>
        <w:t>Forschungsmethoden in der niederländischen Langzeitpflegeforschung 2012–2024: Quantitativ dominiert, qualitativ wachsend</w:t>
      </w:r>
    </w:p>
    <w:p>
      <w:r>
        <w:rPr>
          <w:i/>
          <w:color w:val="666666"/>
          <w:sz w:val="18"/>
        </w:rPr>
        <w:t>Klapwijk M et al.  ·  Tijdschr Gerontol Geriatr  ·  17.09.2026  ·  PMID 42931758</w:t>
      </w:r>
    </w:p>
    <w:p>
      <w:r>
        <w:t>Systematische Übersichtsarbeit über 639 Veröffentlichungen aus sechs akademischen Versorgungsnetzwerken zur Dokumentation von Forschungsmethoden, Settings und Kooperationen in der niederländischen Langzeitpflege.</w:t>
      </w:r>
    </w:p>
    <w:p>
      <w:r>
        <w:rPr>
          <w:b/>
        </w:rPr>
        <w:t xml:space="preserve">Ergebnis: </w:t>
      </w:r>
      <w:r>
        <w:t>Quantitative Designs waren überwiegend (60,7 %), gefolgt von qualitativ (20,0 %), Reviews (10,0 %) und Mixed-Methods (9,1 %). 80 % der Studien bezogen sich auf Pflegeheime, 93,6 % bezogen Menschen mit Demenz ein. 31 % nutzten Kooperationen zwischen mehreren Netzwerken, 32,6 % internationale Kooperationen. Ein methodologisches Verbreitungstrend zu qualitativen und Mixed-Methods-Ansätzen ist erkennbar.</w:t>
      </w:r>
    </w:p>
    <w:p>
      <w:r>
        <w:rPr>
          <w:b/>
          <w:sz w:val="19"/>
        </w:rPr>
        <w:t xml:space="preserve">Übertragbarkeit: </w:t>
      </w:r>
      <w:r>
        <w:rPr>
          <w:sz w:val="19"/>
        </w:rPr>
        <w:t>Niederlande, vergleichbares Versicherungssystem und Organisationsstrukturen – direkt auf Deutschland übertragbar</w:t>
      </w:r>
    </w:p>
    <w:p>
      <w:r>
        <w:rPr>
          <w:color w:val="5A7D3A"/>
          <w:sz w:val="18"/>
        </w:rPr>
        <w:t>https://pubmed.ncbi.nlm.nih.gov/42931758/</w:t>
      </w:r>
    </w:p>
    <w:p>
      <w:pPr>
        <w:pStyle w:val="Heading2"/>
      </w:pPr>
      <w:r>
        <w:t>Geburtshilfliche Ausbildung und respektvolle Patientenversorgung: Kompetenzbasierte gegen traditionelle Curricula</w:t>
      </w:r>
    </w:p>
    <w:p>
      <w:r>
        <w:rPr>
          <w:i/>
          <w:color w:val="666666"/>
          <w:sz w:val="18"/>
        </w:rPr>
        <w:t>Wondie AG et al.  ·  BMC Med Educ  ·  24.10.2026  ·  PMID 42928218</w:t>
      </w:r>
    </w:p>
    <w:p>
      <w:r>
        <w:t>Vergleichende Querschnittstudie zur Beobachtung von Misshandlungsraten in der Geburtshilfe bei 68 Fachkräften (32 aus kompetenzbasiertem, 36 aus konventionellem Curriculum) mittels validiertes Beobachtungsinstrument.</w:t>
      </w:r>
    </w:p>
    <w:p>
      <w:r>
        <w:rPr>
          <w:b/>
        </w:rPr>
        <w:t xml:space="preserve">Ergebnis: </w:t>
      </w:r>
      <w:r>
        <w:t>Mittlerer Misshandlungswert: 34,6 % Gesamtstichprobe. Absolut: Absolventen des kompetenzbasierten Curriculums 30,8 % vs. Konventionelles 38,1 % (t(66)=−3,75, p&lt;0,001); Cohen's d=−0,91. Schlechtere Rapportentwicklung (36,7 % vs. 46,5 %) und Nichtreaktivität auf Patientenanfragen (15,6 % vs. 30,5 %) waren in der Kompetenzgruppe geringer, aber beide Gruppen zeigten Mängel in Zustimmung, emotionaler Unterstützung und Privatsphäre.</w:t>
      </w:r>
    </w:p>
    <w:p>
      <w:r>
        <w:rPr>
          <w:b/>
          <w:sz w:val="19"/>
        </w:rPr>
        <w:t xml:space="preserve">Übertragbarkeit: </w:t>
      </w:r>
      <w:r>
        <w:rPr>
          <w:sz w:val="19"/>
        </w:rPr>
        <w:t>Äthiopien/Entwicklungskontext – Befund zur Lehrplanrelevanz überträgt sich auf Deutschland bei Betonung praktischer Kompetenzen</w:t>
      </w:r>
    </w:p>
    <w:p>
      <w:r>
        <w:rPr>
          <w:color w:val="5A7D3A"/>
          <w:sz w:val="18"/>
        </w:rPr>
        <w:t>https://pubmed.ncbi.nlm.nih.gov/42928218/</w:t>
      </w:r>
    </w:p>
    <w:p>
      <w:pPr>
        <w:pStyle w:val="Heading2"/>
      </w:pPr>
      <w:r>
        <w:t>Personalfluktuation in italienischen Krankenhäusern: Einflussfaktoren auf Kündigungsabsicht von Pflegenden</w:t>
      </w:r>
    </w:p>
    <w:p>
      <w:r>
        <w:rPr>
          <w:i/>
          <w:color w:val="666666"/>
          <w:sz w:val="18"/>
        </w:rPr>
        <w:t>Marti F et al.  ·  Med Lav  ·  23.10.2026  ·  PMID 42925043</w:t>
      </w:r>
    </w:p>
    <w:p>
      <w:r>
        <w:t>Scoping Review (13 Studien) zu Determinanten der Kündigungsabsicht und Berufsverbleib bei italienischen Krankenhausbeschäftigten in der Pflege 2014–2025.</w:t>
      </w:r>
    </w:p>
    <w:p>
      <w:r>
        <w:rPr>
          <w:b/>
        </w:rPr>
        <w:t xml:space="preserve">Ergebnis: </w:t>
      </w:r>
      <w:r>
        <w:t>Determinanten zur Kündigungsabsicht wurden in zwei Domänen gruppiert: (1) Management-Faktoren: Führungsqualität, organisationale Unterstützung, emotionale Bindung; (2) Kontextfaktoren: Ressourcenverfügbarkeit, Arbeitsklima, persönliche Erfahrungen. Multilevel-Strategien zur Stärkung von Führung, Unterstützung und Teamfähigkeit sind zentral für Personalerhalt und Wohlbefinden.</w:t>
      </w:r>
    </w:p>
    <w:p>
      <w:r>
        <w:rPr>
          <w:b/>
          <w:sz w:val="19"/>
        </w:rPr>
        <w:t xml:space="preserve">Übertragbarkeit: </w:t>
      </w:r>
      <w:r>
        <w:rPr>
          <w:sz w:val="19"/>
        </w:rPr>
        <w:t>Italien, vergleichbarer europäischer Kontext – Befunde zu organisationalen Retention-Faktoren relevant für deutsches Pflegepersonalmanagement</w:t>
      </w:r>
    </w:p>
    <w:p>
      <w:r>
        <w:rPr>
          <w:color w:val="5A7D3A"/>
          <w:sz w:val="18"/>
        </w:rPr>
        <w:t>https://pubmed.ncbi.nlm.nih.gov/42925043/</w:t>
      </w:r>
    </w:p>
    <w:p>
      <w:pPr>
        <w:pStyle w:val="Heading1"/>
      </w:pPr>
      <w:r>
        <w:t>Aufgenommen am 27.10.2026</w:t>
      </w:r>
    </w:p>
    <w:p>
      <w:pPr>
        <w:pStyle w:val="Heading2"/>
      </w:pPr>
      <w:r>
        <w:t>Insulinanpassung senkt Pflegefachbesuch und Kosten um über 75 Prozent</w:t>
      </w:r>
    </w:p>
    <w:p>
      <w:r>
        <w:rPr>
          <w:i/>
          <w:color w:val="666666"/>
          <w:sz w:val="18"/>
        </w:rPr>
        <w:t>Barr D et al.  ·  Br J Community Nurs  ·  02.11.2026  ·  PMID 42932244</w:t>
      </w:r>
    </w:p>
    <w:p>
      <w:r>
        <w:t>Qualitätsverbesserung mit Umsetzung durch ambulante Diabetesfachkräfte: Anpassung von Zweimal- auf Einmaltagesregimen bei Typ-2-Diabetes reduzierte Krankenhausbesuche.</w:t>
      </w:r>
    </w:p>
    <w:p>
      <w:r>
        <w:rPr>
          <w:b/>
        </w:rPr>
        <w:t xml:space="preserve">Ergebnis: </w:t>
      </w:r>
      <w:r>
        <w:t>77% Reduktion der Besuchshäufigkeit; HbA1c sank von 10,8% (94,9 mmol/mol) auf 9,3% (78,6 mmol/mol) nach 12 Monaten; geschätzte Kostenersparnis etwa 839.500 Pfund jährlich. Die Sterblichkeit betrug 30% über 18 Monate – ein Hinweis auf die Hochaltrigkeit der Kohorte.</w:t>
      </w:r>
    </w:p>
    <w:p>
      <w:r>
        <w:rPr>
          <w:b/>
          <w:sz w:val="19"/>
        </w:rPr>
        <w:t xml:space="preserve">Übertragbarkeit: </w:t>
      </w:r>
      <w:r>
        <w:rPr>
          <w:sz w:val="19"/>
        </w:rPr>
        <w:t>Großbritannien, NHS-Routinedaten, vergleichbare Versorgungsstruktur für ambulante Krankenpflege</w:t>
      </w:r>
    </w:p>
    <w:p>
      <w:r>
        <w:rPr>
          <w:color w:val="5A7D3A"/>
          <w:sz w:val="18"/>
        </w:rPr>
        <w:t>https://pubmed.ncbi.nlm.nih.gov/42932244/</w:t>
      </w:r>
    </w:p>
    <w:p>
      <w:pPr>
        <w:pStyle w:val="Heading2"/>
      </w:pPr>
      <w:r>
        <w:t>Direkte häusliche geriatrische Revalidation: Machbarkeit und Akzeptanz</w:t>
      </w:r>
    </w:p>
    <w:p>
      <w:r>
        <w:rPr>
          <w:i/>
          <w:color w:val="666666"/>
          <w:sz w:val="18"/>
        </w:rPr>
        <w:t>Jaski J et al.  ·  Tijdschr Gerontol Geriatr  ·  17.09.2026  ·  PMID 42931759</w:t>
      </w:r>
    </w:p>
    <w:p>
      <w:r>
        <w:t>Qualitative Evaluierung einer neuen Versorgungsform in den Niederlanden: ambulante geriatrische Revalidation ohne vorherige Heimaufnahme mit digitaler Unterstützung.</w:t>
      </w:r>
    </w:p>
    <w:p>
      <w:r>
        <w:rPr>
          <w:b/>
        </w:rPr>
        <w:t xml:space="preserve">Ergebnis: </w:t>
      </w:r>
      <w:r>
        <w:t>Fünf Rehabilitanden und fünf Angehörige berichteten hohe Zufriedenheit mit Fachkompetenz, Einfühlsamkeit und Kommunikation des interdisziplinären Teams; Tablet-gestützte Betreuung wurde überwiegend positiv bewertet; die hybride Mischung aus Präsenz- und Digitalangebot motivierte.</w:t>
      </w:r>
    </w:p>
    <w:p>
      <w:r>
        <w:rPr>
          <w:b/>
          <w:sz w:val="19"/>
        </w:rPr>
        <w:t xml:space="preserve">Übertragbarkeit: </w:t>
      </w:r>
      <w:r>
        <w:rPr>
          <w:sz w:val="19"/>
        </w:rPr>
        <w:t>Niederlande, vergleichbares Versicherungssystem, neue Versorgungsform seit 2025</w:t>
      </w:r>
    </w:p>
    <w:p>
      <w:r>
        <w:rPr>
          <w:color w:val="5A7D3A"/>
          <w:sz w:val="18"/>
        </w:rPr>
        <w:t>https://pubmed.ncbi.nlm.nih.gov/42931759/</w:t>
      </w:r>
    </w:p>
    <w:p>
      <w:pPr>
        <w:pStyle w:val="Heading2"/>
      </w:pPr>
      <w:r>
        <w:t>Pflegerische Leitungsarbeit in der häuslichen Altenpflege: situativ angepasstes Handeln</w:t>
      </w:r>
    </w:p>
    <w:p>
      <w:r>
        <w:rPr>
          <w:i/>
          <w:color w:val="666666"/>
          <w:sz w:val="18"/>
        </w:rPr>
        <w:t>Stien T et al.  ·  Int J Older People Nurs  ·  Nov. 2026  ·  PMID 42928518</w:t>
      </w:r>
    </w:p>
    <w:p>
      <w:r>
        <w:t>Teilnehmende Beobachtung (50 Stunden) mit acht Pflegefachkräften in skandinavischer Gemeindepflege zu Führungshandeln dicht bei älteren Menschen und zwischen den Kontakten.</w:t>
      </w:r>
    </w:p>
    <w:p>
      <w:r>
        <w:rPr>
          <w:b/>
        </w:rPr>
        <w:t xml:space="preserve">Ergebnis: </w:t>
      </w:r>
      <w:r>
        <w:t>Drei zentrale Führungsthemen: (1) holistische Sicht, Priorisierung von Bewohnerbedürfnissen vor Organisationssystem; (2) Anpassung an das Besondere – Umfeld und Selbst flexibel auf Situation ausrichten; (3) Einsatz professionellen Wissens. Übergreifendes Muster: Führung durch ‚Situationen nutzen' im Rahmen organisatorischer Grenzen. Dies erfordert Flexibilität und Anpassungsfähigkeit und offenbart Druck durch aufgabenfokussierte Organisationen.</w:t>
      </w:r>
    </w:p>
    <w:p>
      <w:r>
        <w:rPr>
          <w:b/>
          <w:sz w:val="19"/>
        </w:rPr>
        <w:t xml:space="preserve">Übertragbarkeit: </w:t>
      </w:r>
      <w:r>
        <w:rPr>
          <w:sz w:val="19"/>
        </w:rPr>
        <w:t>Skandinavien, ähnliche dezentralisierte Gemeindepflegestrukturen, qualitative Erkenntnisse zur Führungslogik</w:t>
      </w:r>
    </w:p>
    <w:p>
      <w:r>
        <w:rPr>
          <w:color w:val="5A7D3A"/>
          <w:sz w:val="18"/>
        </w:rPr>
        <w:t>https://pubmed.ncbi.nlm.nih.gov/42928518/</w:t>
      </w:r>
    </w:p>
    <w:p>
      <w:pPr>
        <w:pStyle w:val="Heading2"/>
      </w:pPr>
      <w:r>
        <w:t>Schlafförderung im Krankenhaus: Selbsteinschätzung und Barrieren des Pflegepersonals</w:t>
      </w:r>
    </w:p>
    <w:p>
      <w:r>
        <w:rPr>
          <w:i/>
          <w:color w:val="666666"/>
          <w:sz w:val="18"/>
        </w:rPr>
        <w:t>Vasse M et al.  ·  Scand J Caring Sci  ·  Dez. 2026  ·  PMID 42928489</w:t>
      </w:r>
    </w:p>
    <w:p>
      <w:r>
        <w:t>Querschnittumfrage unter finnischen Krankenhausfachkräften zur Selbsteinschätzung ihrer Schlafförderungsinterventionen und zum Einfluss von Ressourcen und Organisationskultur.</w:t>
      </w:r>
    </w:p>
    <w:p>
      <w:r>
        <w:rPr>
          <w:b/>
        </w:rPr>
        <w:t xml:space="preserve">Ergebnis: </w:t>
      </w:r>
      <w:r>
        <w:t>129 von 482 eingeladenen Fachkräften antworteten; Pflegekräfte bewerteten ihre schlafunterstützenden Aktivitäten positiv, speziell bei emotionaler Unterstützung; tiefste Scores bei Minimierung pflegebedingter Störungen. Organisatorische Faktoren (Raumgestaltung, Ressourcen, Kultur, Fort- und Weiterbildung) wurden als zentral für Umsetzung identifiziert.</w:t>
      </w:r>
    </w:p>
    <w:p>
      <w:r>
        <w:rPr>
          <w:b/>
          <w:sz w:val="19"/>
        </w:rPr>
        <w:t xml:space="preserve">Übertragbarkeit: </w:t>
      </w:r>
      <w:r>
        <w:rPr>
          <w:sz w:val="19"/>
        </w:rPr>
        <w:t>Skandinavien, ähnliche Organisationslogik im Krankenhauswesen</w:t>
      </w:r>
    </w:p>
    <w:p>
      <w:r>
        <w:rPr>
          <w:color w:val="5A7D3A"/>
          <w:sz w:val="18"/>
        </w:rPr>
        <w:t>https://pubmed.ncbi.nlm.nih.gov/42928489/</w:t>
      </w:r>
    </w:p>
    <w:p>
      <w:pPr>
        <w:pStyle w:val="Heading2"/>
      </w:pPr>
      <w:r>
        <w:t>Digitales Beratungsangebot für pflegende Angehörige in Österreich: Wirkung und Empowerment</w:t>
      </w:r>
    </w:p>
    <w:p>
      <w:r>
        <w:rPr>
          <w:i/>
          <w:color w:val="666666"/>
          <w:sz w:val="18"/>
        </w:rPr>
        <w:t>Gabl K et al.  ·  BMC Health Serv Res  ·  28.07.2026  ·  PMID 42928179</w:t>
      </w:r>
    </w:p>
    <w:p>
      <w:r>
        <w:t>Realistische Evaluierung eines österreichischen digitalen Beratungsdienstes (Alles Clara) mit 52–169 Online-Befragten und Interviews: Wirkung auf Angehörige und Fachkräfte.</w:t>
      </w:r>
    </w:p>
    <w:p>
      <w:r>
        <w:rPr>
          <w:b/>
        </w:rPr>
        <w:t xml:space="preserve">Ergebnis: </w:t>
      </w:r>
      <w:r>
        <w:t>Pflegende Angehörige nutzten den Service anonym und ortunabhängig; vertrauensvolle Beziehung zu Beraterinnen ermöglichte personenzentrierte Beratung; Angehörige verloren das Gefühl der Isolation und gestalteten nächste Schritte selbstbestimmter. Fachkräfte entwickelten beruflichen Stolz und erkannten den Wert ihrer ferngestützten Arbeit ('sichtbar gemacht').</w:t>
      </w:r>
    </w:p>
    <w:p>
      <w:r>
        <w:rPr>
          <w:b/>
          <w:sz w:val="19"/>
        </w:rPr>
        <w:t xml:space="preserve">Übertragbarkeit: </w:t>
      </w:r>
      <w:r>
        <w:rPr>
          <w:sz w:val="19"/>
        </w:rPr>
        <w:t>Österreich, vergleichbar deutsches Pflegeversicherungssystem und Berufsbild</w:t>
      </w:r>
    </w:p>
    <w:p>
      <w:r>
        <w:rPr>
          <w:color w:val="5A7D3A"/>
          <w:sz w:val="18"/>
        </w:rPr>
        <w:t>https://pubmed.ncbi.nlm.nih.gov/42928179/</w:t>
      </w:r>
    </w:p>
    <w:p>
      <w:pPr>
        <w:pStyle w:val="Heading2"/>
      </w:pPr>
      <w:r>
        <w:t>Pflegende Angehörige bei Parkinson: zentrale Rolle in Selbstpflege und Management</w:t>
      </w:r>
    </w:p>
    <w:p>
      <w:r>
        <w:rPr>
          <w:i/>
          <w:color w:val="666666"/>
          <w:sz w:val="18"/>
        </w:rPr>
        <w:t>Monica P et al.  ·  J Nurs Scholarsh  ·  Nov. 2026  ·  PMID 42908219</w:t>
      </w:r>
    </w:p>
    <w:p>
      <w:r>
        <w:t>Qualitative Studie mit 20 Interviews zur Rolle von Angehörigen bei der Unterstützung von Parkinson-Patienten in Selbstversorgung, Monitoring und Symptommanagement.</w:t>
      </w:r>
    </w:p>
    <w:p>
      <w:r>
        <w:rPr>
          <w:b/>
        </w:rPr>
        <w:t xml:space="preserve">Ergebnis: </w:t>
      </w:r>
      <w:r>
        <w:t>75% weibliche Angehörige, Durchschnittsalter 63,7 Jahre, 90% Ehepartner, 95% im Haushalt; Angehörige unterstützten bei Medikamentencompliance, körperlicher Aktivität, Sicherheit und Ernährung; Monitoring alltäglicher Aktivitäten und Symptome; Symptommanagement-Strategien und nicht-pharmakologische Interventionen waren zentral. Schwierigkeiten und Interaktionen mit Fachkräften beeinflussten die Versorgung.</w:t>
      </w:r>
    </w:p>
    <w:p>
      <w:r>
        <w:rPr>
          <w:b/>
          <w:sz w:val="19"/>
        </w:rPr>
        <w:t xml:space="preserve">Übertragbarkeit: </w:t>
      </w:r>
      <w:r>
        <w:rPr>
          <w:sz w:val="19"/>
        </w:rPr>
        <w:t>Italien, qualitative Erkenntnisse zur Rolle von Angehörigen, unabhängig von Versicherungssystem</w:t>
      </w:r>
    </w:p>
    <w:p>
      <w:r>
        <w:rPr>
          <w:color w:val="5A7D3A"/>
          <w:sz w:val="18"/>
        </w:rPr>
        <w:t>https://pubmed.ncbi.nlm.nih.gov/42908219/</w:t>
      </w:r>
    </w:p>
    <w:p>
      <w:pPr>
        <w:pStyle w:val="Heading1"/>
      </w:pPr>
      <w:r>
        <w:t>Aufgenommen am 26.10.2026</w:t>
      </w:r>
    </w:p>
    <w:p>
      <w:pPr>
        <w:pStyle w:val="Heading2"/>
      </w:pPr>
      <w:r>
        <w:t>Pflegeleistung im Krankenhaus: Dimensionen und Wirkungen von Pflegekompetenz</w:t>
      </w:r>
    </w:p>
    <w:p>
      <w:r>
        <w:rPr>
          <w:i/>
          <w:color w:val="666666"/>
          <w:sz w:val="18"/>
        </w:rPr>
        <w:t>Chen P et al.  ·  J Nurs Manag  ·  2026  ·  PMID 42922197</w:t>
      </w:r>
    </w:p>
    <w:p>
      <w:r>
        <w:t>Hybride Konzeptanalyse mit systematischer Literaturrecherche (43 Studien) und qualitativen Interviews (27 Patienten, 10 Pflegekräfte, 3 Manager) zur Definition und Messung von klinischem Pflegeleistungswert.</w:t>
      </w:r>
    </w:p>
    <w:p>
      <w:r>
        <w:rPr>
          <w:b/>
        </w:rPr>
        <w:t xml:space="preserve">Ergebnis: </w:t>
      </w:r>
      <w:r>
        <w:t>Pflegeleistung wird als Komposit aus fünf Dimensionen definiert: technisch, ökonomisch, humanistisch, informativ und sozial. Antezedenzien liegen in System/Organisation, Pflegeteam, Patienten/Familien und Technologie. Konsequenzen beeinflussen Patienten, Pflegeteam, Pflegeprofession, Klinik und Gesundheitssystem. Das Modell bildet Grundlage für Leistungsbewertung und Ressourcenallokation.</w:t>
      </w:r>
    </w:p>
    <w:p>
      <w:r>
        <w:rPr>
          <w:b/>
          <w:sz w:val="19"/>
        </w:rPr>
        <w:t xml:space="preserve">Übertragbarkeit: </w:t>
      </w:r>
      <w:r>
        <w:rPr>
          <w:sz w:val="19"/>
        </w:rPr>
        <w:t>China, konzeptionelle Rahmenarbeit; Dimensionen von Pflegeleistung international anwendbar</w:t>
      </w:r>
    </w:p>
    <w:p>
      <w:r>
        <w:rPr>
          <w:color w:val="5A7D3A"/>
          <w:sz w:val="18"/>
        </w:rPr>
        <w:t>https://pubmed.ncbi.nlm.nih.gov/42922197/</w:t>
      </w:r>
    </w:p>
    <w:p>
      <w:pPr>
        <w:pStyle w:val="Heading2"/>
      </w:pPr>
      <w:r>
        <w:t>Telemedizinische Pflegefachkraft-Betreuung bei Herzinsuffizienz: Selbstpflege und Wiederaufnahmen</w:t>
      </w:r>
    </w:p>
    <w:p>
      <w:r>
        <w:rPr>
          <w:i/>
          <w:color w:val="666666"/>
          <w:sz w:val="18"/>
        </w:rPr>
        <w:t>Zhu P et al.  ·  Nurs Health Sci  ·  Dez. 2026  ·  PMID 42922152</w:t>
      </w:r>
    </w:p>
    <w:p>
      <w:r>
        <w:t>Retrospektive Kohortenstudie (58 Telemedizin vs. 54 Routine-Nachsorge) zu risikostratifizierter WeChat-basierter Telemedizin bei 112 Patienten mit chronischer Herzinsuffizienz 2023–2024.</w:t>
      </w:r>
    </w:p>
    <w:p>
      <w:r>
        <w:rPr>
          <w:b/>
        </w:rPr>
        <w:t xml:space="preserve">Ergebnis: </w:t>
      </w:r>
      <w:r>
        <w:t>6-Monats-Wiederaufnahmequote ungematchter Kohorte: 13,8 % (Telemedizin) vs. 31,5 % (Routine, p = 0,02); nach 1:1 Propensity-Score-Matching (46 Paare): 15,2 % vs. 32,6 % (p = 0,04). Unadjustiertes Hazard Ratio 0,43 (95%-KI 0,18–0,99). Alle drei SCHFI-v7.2-C-Subskalen verbesserten sich mit Telemedizin (p &lt; 0,001). Effekt auf Wiederaufnahmen statistisch grenzwertig, aber Selbstpflege-Verbesserungen konsistent.</w:t>
      </w:r>
    </w:p>
    <w:p>
      <w:r>
        <w:rPr>
          <w:b/>
          <w:sz w:val="19"/>
        </w:rPr>
        <w:t xml:space="preserve">Übertragbarkeit: </w:t>
      </w:r>
      <w:r>
        <w:rPr>
          <w:sz w:val="19"/>
        </w:rPr>
        <w:t>China, aber Telemedizin-Konzept und Selbstpflege-Messung international übertragbar; Prospektive Bestätigung erforderlich</w:t>
      </w:r>
    </w:p>
    <w:p>
      <w:r>
        <w:rPr>
          <w:color w:val="5A7D3A"/>
          <w:sz w:val="18"/>
        </w:rPr>
        <w:t>https://pubmed.ncbi.nlm.nih.gov/42922152/</w:t>
      </w:r>
    </w:p>
    <w:p>
      <w:pPr>
        <w:pStyle w:val="Heading2"/>
      </w:pPr>
      <w:r>
        <w:t>Belastungsfaktoren und Gesundheit von Pflegehelferinnen im Heim: Was Arbeitsbedingungen bewirken</w:t>
      </w:r>
    </w:p>
    <w:p>
      <w:r>
        <w:rPr>
          <w:i/>
          <w:color w:val="666666"/>
          <w:sz w:val="18"/>
        </w:rPr>
        <w:t>Catalano A et al.  ·  J Nurs Manag  ·  2026  ·  PMID 42922003</w:t>
      </w:r>
    </w:p>
    <w:p>
      <w:r>
        <w:t>Querschnittstudie zu Burnout, psychischen Belastungen und Muskel-Skelett-Beschwerden bei 202 Pflegehelferinnen in italienischen Pflegeheimen.</w:t>
      </w:r>
    </w:p>
    <w:p>
      <w:r>
        <w:rPr>
          <w:b/>
        </w:rPr>
        <w:t xml:space="preserve">Ergebnis: </w:t>
      </w:r>
      <w:r>
        <w:t>86 % berichteten Muskel-Skelett-Schmerzen an mindestens zwei Körperstellen. Job-Unsicherheit war signifikant mit erhöhtem Depressionrisiko, Emotionaler Erschöpfung und Depersonalisierung assoziiert (p &lt; 0,05). Arbeit in Heimen mit hohem Betreuungsbedarf war mit erhöhter Depression und Angststörung verknüpft. Die Befunde zeigen enge Zusammenhänge zwischen physischer Belastung, organisatorischen Faktoren und psychischer Gesundheit.</w:t>
      </w:r>
    </w:p>
    <w:p>
      <w:r>
        <w:rPr>
          <w:b/>
          <w:sz w:val="19"/>
        </w:rPr>
        <w:t xml:space="preserve">Übertragbarkeit: </w:t>
      </w:r>
      <w:r>
        <w:rPr>
          <w:sz w:val="19"/>
        </w:rPr>
        <w:t>Italien, vergleichbare südeuropäische Pflegeheimstruktur; Aussagen zu Organisationsfaktoren übertragbar</w:t>
      </w:r>
    </w:p>
    <w:p>
      <w:r>
        <w:rPr>
          <w:color w:val="5A7D3A"/>
          <w:sz w:val="18"/>
        </w:rPr>
        <w:t>https://pubmed.ncbi.nlm.nih.gov/42922003/</w:t>
      </w:r>
    </w:p>
    <w:p>
      <w:pPr>
        <w:pStyle w:val="Heading2"/>
      </w:pPr>
      <w:r>
        <w:t>Emotionale Anforderungen im Pflegeberuf: Was Erfahrung über längere Karrieren bewirkt</w:t>
      </w:r>
    </w:p>
    <w:p>
      <w:r>
        <w:rPr>
          <w:i/>
          <w:color w:val="666666"/>
          <w:sz w:val="18"/>
        </w:rPr>
        <w:t>Popucza TZ et al.  ·  Nurs Open  ·  Okt. 2026  ·  PMID 42921873</w:t>
      </w:r>
    </w:p>
    <w:p>
      <w:r>
        <w:t>Qualitative Studie mit 13 schwedischen Pflegekräften ab 60 Jahren mit mindestens 20 Jahren Berufserfahrung zu Veränderungen emotionaler Anforderungen und Emotionsregulation über die Karriere.</w:t>
      </w:r>
    </w:p>
    <w:p>
      <w:r>
        <w:rPr>
          <w:b/>
        </w:rPr>
        <w:t xml:space="preserve">Ergebnis: </w:t>
      </w:r>
      <w:r>
        <w:t>Teilnehmende beschrieben zunehmende berufliche Vorbereitung und bewusstere Emotionsregulation über die Zeit, jedoch nicht allein altersbedingt, sondern in Verbindung mit beruflichen und persönlichen Umständen, Arbeitsplatzveränderungen und gesellschaftlichen Transformationen. Emotionale Nachhaltigkeit hängt mit Arbeitsgestaltung, Erholungsmöglichkeiten und Mentoring-Chancen zusammen.</w:t>
      </w:r>
    </w:p>
    <w:p>
      <w:r>
        <w:rPr>
          <w:b/>
          <w:sz w:val="19"/>
        </w:rPr>
        <w:t xml:space="preserve">Übertragbarkeit: </w:t>
      </w:r>
      <w:r>
        <w:rPr>
          <w:sz w:val="19"/>
        </w:rPr>
        <w:t>Schweden, ähnliche nordische Pflegestruktur; Befunde zur emotionalen Belastbarkeit relevant für Karriereverlauf</w:t>
      </w:r>
    </w:p>
    <w:p>
      <w:r>
        <w:rPr>
          <w:color w:val="5A7D3A"/>
          <w:sz w:val="18"/>
        </w:rPr>
        <w:t>https://pubmed.ncbi.nlm.nih.gov/42921873/</w:t>
      </w:r>
    </w:p>
    <w:p>
      <w:pPr>
        <w:pStyle w:val="Heading2"/>
      </w:pPr>
      <w:r>
        <w:t>Partizipative Entscheidungsfindung in der Gastroenterologie: Rolle und Barrieren für die Pflegefachkraft</w:t>
      </w:r>
    </w:p>
    <w:p>
      <w:r>
        <w:rPr>
          <w:i/>
          <w:color w:val="666666"/>
          <w:sz w:val="18"/>
        </w:rPr>
        <w:t>Schoefs E et al.  ·  BMC Health Serv Res  ·  05.10.2026  ·  PMID 42907825</w:t>
      </w:r>
    </w:p>
    <w:p>
      <w:r>
        <w:t>Qualitative Studie mit 15 Patienten, 11 Gastroenterologen und 12 IBD-Pflegekräften in Belgien zur Umsetzung von Shared Decision Making (SDM) in der Versorgung.</w:t>
      </w:r>
    </w:p>
    <w:p>
      <w:r>
        <w:rPr>
          <w:b/>
        </w:rPr>
        <w:t xml:space="preserve">Ergebnis: </w:t>
      </w:r>
      <w:r>
        <w:t>Ärzte berichten routinemäßige SDM-Schritte, Patienten jedoch Inkonsistenzen bei emotionaler Unterstützung, Informationsklarheit und Präferenzenerhebung (p &lt; 0,05). IBD-Pflegekräfte wurden als wesentliche SDM-Partner wahrgenommen – sie verstärken Informationen, fördern Kommunikation und adressieren physische, emotionale und soziale Patientenbedürfnisse. Hauptbarrieren: niedrige Gesundheitskompetenz, mangelnde Kommunikation, Zeitdruck. Schlüsselfaktoren: SDM-Training und organisatorische Änderungen.</w:t>
      </w:r>
    </w:p>
    <w:p>
      <w:r>
        <w:rPr>
          <w:b/>
          <w:sz w:val="19"/>
        </w:rPr>
        <w:t xml:space="preserve">Übertragbarkeit: </w:t>
      </w:r>
      <w:r>
        <w:rPr>
          <w:sz w:val="19"/>
        </w:rPr>
        <w:t>Belgien, niederländischsprachiges System mit ähnlichen Versicherungsstrukturen; SDM-Barrieren auch in deutscher Versorgung relevant</w:t>
      </w:r>
    </w:p>
    <w:p>
      <w:r>
        <w:rPr>
          <w:color w:val="5A7D3A"/>
          <w:sz w:val="18"/>
        </w:rPr>
        <w:t>https://pubmed.ncbi.nlm.nih.gov/42907825/</w:t>
      </w:r>
    </w:p>
    <w:p>
      <w:pPr>
        <w:pStyle w:val="Heading1"/>
      </w:pPr>
      <w:r>
        <w:t>Aufgenommen am 25.10.2026</w:t>
      </w:r>
    </w:p>
    <w:p>
      <w:pPr>
        <w:pStyle w:val="Heading2"/>
      </w:pPr>
      <w:r>
        <w:t>Frailty-Screening mit Prävention reduziert Pflegebedürftigkeit im Alter</w:t>
      </w:r>
    </w:p>
    <w:p>
      <w:r>
        <w:rPr>
          <w:i/>
          <w:color w:val="666666"/>
          <w:sz w:val="18"/>
        </w:rPr>
        <w:t>Soma S et al.  ·  Age Ageing  ·  03.08.2026  ·  PMID 42920343</w:t>
      </w:r>
    </w:p>
    <w:p>
      <w:r>
        <w:t>Studie zur Wirkung eines Screenings auf Gebrechlichkeit mit anschließender Gesundheitsberatung auf die Rate von Pflegegrad-Zertifizierungen bei über 75-Jährigen in Japan.</w:t>
      </w:r>
    </w:p>
    <w:p>
      <w:r>
        <w:rPr>
          <w:b/>
        </w:rPr>
        <w:t xml:space="preserve">Ergebnis: </w:t>
      </w:r>
      <w:r>
        <w:t>Nach Einführung des Screening-basierten Interventionsprogramms sank die monatliche Quote der Pflegezertifizierungen in der Altersgruppe ≥75 Jahre um 6,8 % (95%-CI: 4,4–10,0 %) gegenüber dem projizierten Trend ohne Intervention. Die annualisierte Trendänderung zeigte ein Hazard Ratio von 0,974 (95%-CI: 0,963–0,983).</w:t>
      </w:r>
    </w:p>
    <w:p>
      <w:r>
        <w:rPr>
          <w:b/>
          <w:sz w:val="19"/>
        </w:rPr>
        <w:t xml:space="preserve">Übertragbarkeit: </w:t>
      </w:r>
      <w:r>
        <w:rPr>
          <w:sz w:val="19"/>
        </w:rPr>
        <w:t>Japan, aber mit Pflegezertifizierungssystem vergleichbar zur Erfassung von Pflegebedürftigkeit; kommunales Ansatzmodell übertragbar.</w:t>
      </w:r>
    </w:p>
    <w:p>
      <w:r>
        <w:rPr>
          <w:color w:val="5A7D3A"/>
          <w:sz w:val="18"/>
        </w:rPr>
        <w:t>https://pubmed.ncbi.nlm.nih.gov/42920343/</w:t>
      </w:r>
    </w:p>
    <w:p>
      <w:pPr>
        <w:pStyle w:val="Heading2"/>
      </w:pPr>
      <w:r>
        <w:t>CFTR-Modulatoren senken Belastung und Arbeitsausfälle pflegender Angehöriger</w:t>
      </w:r>
    </w:p>
    <w:p>
      <w:r>
        <w:rPr>
          <w:i/>
          <w:color w:val="666666"/>
          <w:sz w:val="18"/>
        </w:rPr>
        <w:t>Oliveira VDGSB et al.  ·  Orphanet J Rare Dis  ·  23.07.2026  ·  PMID 42920171</w:t>
      </w:r>
    </w:p>
    <w:p>
      <w:r>
        <w:t>Querschnittsstudie mit 174 primären Pflegepersonen (90,2 % Mütter) von Mukoviszidose-Patienten in Brasilien, vergleichend für Nutzer und Nicht-Nutzer von Elexacaftor/Tezacaftor/Ivacaftor (ETI).</w:t>
      </w:r>
    </w:p>
    <w:p>
      <w:r>
        <w:rPr>
          <w:b/>
        </w:rPr>
        <w:t xml:space="preserve">Ergebnis: </w:t>
      </w:r>
      <w:r>
        <w:t>Pflegepersonen von Nicht-Modulatoren-Nutzern investierten täglich signifikant mehr Zeit (300 Min. [IQR: 180–300] vs. 180 Min. [IQR: 90–240]; p=0,002) und hatten häufigere Arztkontakte (p=0,003). Zarit Burden Interview-12: höhere Scores in der Nicht-Modulatoren-Gruppe (20,0 [IQR: 16,0–25,2] vs. 15,5 [IQR: 11,2–23,0]; p=0,006); bei Kindern unter 5 Jahren noch ausgeprägter (20,0 vs. 14,0; p=0,003). Absenteeismus (15,8 % vs. 0,0 %; p=0,034), Präsentismus (50,0 % vs. 20,0 %; p=0,048) und Aktivitätsbeeinträchtigung (50,0 % vs. 30,0 %; p=0,011) signifikant höher ohne Modulatoren.</w:t>
      </w:r>
    </w:p>
    <w:p>
      <w:r>
        <w:rPr>
          <w:b/>
          <w:sz w:val="19"/>
        </w:rPr>
        <w:t xml:space="preserve">Übertragbarkeit: </w:t>
      </w:r>
      <w:r>
        <w:rPr>
          <w:sz w:val="19"/>
        </w:rPr>
        <w:t>Brasilien; aber Mechanismus der Entlastung durch bessere Gesundheit des Patienten übergeordnet übertragbar.</w:t>
      </w:r>
    </w:p>
    <w:p>
      <w:r>
        <w:rPr>
          <w:color w:val="5A7D3A"/>
          <w:sz w:val="18"/>
        </w:rPr>
        <w:t>https://pubmed.ncbi.nlm.nih.gov/42920171/</w:t>
      </w:r>
    </w:p>
    <w:p>
      <w:pPr>
        <w:pStyle w:val="Heading2"/>
      </w:pPr>
      <w:r>
        <w:t>Unterstützungsbedarf pflegender Angehöriger von Myeloma-Patienten: massive Versorgungslücken</w:t>
      </w:r>
    </w:p>
    <w:p>
      <w:r>
        <w:rPr>
          <w:i/>
          <w:color w:val="666666"/>
          <w:sz w:val="18"/>
        </w:rPr>
        <w:t>Lin Y et al.  ·  BMC Palliat Care  ·  29.08.2026  ·  PMID 42920119</w:t>
      </w:r>
    </w:p>
    <w:p>
      <w:r>
        <w:t>Querschnittsstudie mit 227 pflegenden Angehörigen von Myeloma-Patienten in Südostchina zur Erfassung von Unterstützungsbedarfen und wahrgenommener Verfügbarkeit von Hilfsangeboten.</w:t>
      </w:r>
    </w:p>
    <w:p>
      <w:r>
        <w:rPr>
          <w:b/>
        </w:rPr>
        <w:t xml:space="preserve">Ergebnis: </w:t>
      </w:r>
      <w:r>
        <w:t>Höchster Bedarf bestand für Krankheitsinformation (90,04 %), niedrigste wahrgenommene Versorgung für psychosoziale Ressourcen (50,05 %). In den Top-10 unerfüllter Bedürfnisse: vier Items zu psychosozialen Ressourcen, drei zu Pflegefähigkeiten, zwei zu medizinischen Diensten, eines zu Krankheitsinformation. Ehegatten, Personen mit Vorpflegeerfahrung und die, die auch Kinder betreuen, hatten signifikant höhere Bedarfswerte.</w:t>
      </w:r>
    </w:p>
    <w:p>
      <w:r>
        <w:rPr>
          <w:b/>
          <w:sz w:val="19"/>
        </w:rPr>
        <w:t xml:space="preserve">Übertragbarkeit: </w:t>
      </w:r>
      <w:r>
        <w:rPr>
          <w:sz w:val="19"/>
        </w:rPr>
        <w:t>China, aber Bedarfsstruktur pflegender Angehöriger übergeordnet vergleichbar.</w:t>
      </w:r>
    </w:p>
    <w:p>
      <w:r>
        <w:rPr>
          <w:color w:val="5A7D3A"/>
          <w:sz w:val="18"/>
        </w:rPr>
        <w:t>https://pubmed.ncbi.nlm.nih.gov/42920119/</w:t>
      </w:r>
    </w:p>
    <w:p>
      <w:pPr>
        <w:pStyle w:val="Heading2"/>
      </w:pPr>
      <w:r>
        <w:t>Vergebungs-Psychoedukation reduziert Todesangst und Pflegebelastung am Lebensende</w:t>
      </w:r>
    </w:p>
    <w:p>
      <w:r>
        <w:rPr>
          <w:i/>
          <w:color w:val="666666"/>
          <w:sz w:val="18"/>
        </w:rPr>
        <w:t>Cancer Nurs  ·  21.10.2026  ·  PMID 42919807</w:t>
      </w:r>
    </w:p>
    <w:p>
      <w:r>
        <w:t>Randomisierte kontrollierte Studie zur Wirkung einer Psychoedukationsintervention zum Thema Vergebung auf Todesangst, Pflegebelastung und Vergebungsneigung bei 56 Pflegepersonen von Sterbenden (Interventionsgruppe n=28, Kontrollgruppe n=28).</w:t>
      </w:r>
    </w:p>
    <w:p>
      <w:r>
        <w:rPr>
          <w:b/>
        </w:rPr>
        <w:t xml:space="preserve">Ergebnis: </w:t>
      </w:r>
      <w:r>
        <w:t>Die durchschnittlichen Scores für Todesangst und Pflegebelastung in Post-Test und Verlaufsmessungen (1 und 3 Monate) der Interventionsgruppe waren statistisch signifikant niedriger als in der Kontrollgruppe (p&lt;0,05). Die Intervention zeigte anhaltende Effekte über alle Follow-up-Zeitpunkte.</w:t>
      </w:r>
    </w:p>
    <w:p>
      <w:r>
        <w:rPr>
          <w:b/>
          <w:sz w:val="19"/>
        </w:rPr>
        <w:t xml:space="preserve">Übertragbarkeit: </w:t>
      </w:r>
      <w:r>
        <w:rPr>
          <w:sz w:val="19"/>
        </w:rPr>
        <w:t>Ursprungsland nicht genannt; aber Intervention psychoedukativer Art mit allgemeinen Anwendbarkeitsprinzipien.</w:t>
      </w:r>
    </w:p>
    <w:p>
      <w:r>
        <w:rPr>
          <w:color w:val="5A7D3A"/>
          <w:sz w:val="18"/>
        </w:rPr>
        <w:t>https://pubmed.ncbi.nlm.nih.gov/42919807/</w:t>
      </w:r>
    </w:p>
    <w:p>
      <w:pPr>
        <w:pStyle w:val="Heading2"/>
      </w:pPr>
      <w:r>
        <w:t>Advanced Practice Nursing in Deutschland und Brasilien: regulatorische Hürden, Akademisierungswege</w:t>
      </w:r>
    </w:p>
    <w:p>
      <w:r>
        <w:rPr>
          <w:i/>
          <w:color w:val="666666"/>
          <w:sz w:val="18"/>
        </w:rPr>
        <w:t>Bula DA et al.  ·  Rev Bras Enferm  ·  16.10.2026  ·  PMID 42912127</w:t>
      </w:r>
    </w:p>
    <w:p>
      <w:r>
        <w:t>Qualitative Vergleichsstudie durch Analyse von Strategiedokumenten und Sekundärdaten zu Bedingungen der Advanced Practice Nursing Entwicklung in der Primärversorgung in Brasilien und Deutschland.</w:t>
      </w:r>
    </w:p>
    <w:p>
      <w:r>
        <w:rPr>
          <w:b/>
        </w:rPr>
        <w:t xml:space="preserve">Ergebnis: </w:t>
      </w:r>
      <w:r>
        <w:t>Brasilien: langjährige akademische Pflegeausbildung und etablierte Verantwortungen unterstützen Advanced Practice Nursing, aber Regulierungslücken bleiben Barriere. Deutschland: Entwicklung reflektiert berufsständische Pflegetradition und rezente Akademisierungsbewegung mit wenigen AP-Masterstudiengängen; ärztezentriertes Modell der Primärversorgung und unzureichende Rechtsgrundlagen hemmen Umsetzung trotz wachsenden politischen Moments. Schlussfolgerung: Entwicklung ist kontext- und landspezifisch; effektive Implementierung erfordert Alignment mit Institutionen, Ausbildungswegen und Berufsrollen.</w:t>
      </w:r>
    </w:p>
    <w:p>
      <w:r>
        <w:rPr>
          <w:b/>
          <w:sz w:val="19"/>
        </w:rPr>
        <w:t xml:space="preserve">Übertragbarkeit: </w:t>
      </w:r>
      <w:r>
        <w:rPr>
          <w:sz w:val="19"/>
        </w:rPr>
        <w:t>Deutschland und direkter Vergleich mit Brasilien; illustriert strukturelle und regulatorische Barrieren im deutschen System.</w:t>
      </w:r>
    </w:p>
    <w:p>
      <w:r>
        <w:rPr>
          <w:color w:val="5A7D3A"/>
          <w:sz w:val="18"/>
        </w:rPr>
        <w:t>https://pubmed.ncbi.nlm.nih.gov/42912127/</w:t>
      </w:r>
    </w:p>
    <w:p>
      <w:pPr>
        <w:pStyle w:val="Heading2"/>
      </w:pPr>
      <w:r>
        <w:t>Infektionsprävention in Pflegeheimen: standardisierte Verfahren verbessern Compliance</w:t>
      </w:r>
    </w:p>
    <w:p>
      <w:r>
        <w:rPr>
          <w:i/>
          <w:color w:val="666666"/>
          <w:sz w:val="18"/>
        </w:rPr>
        <w:t>Bordino V et al.  ·  Antimicrob Resist Infect Control  ·  25.07.2026  ·  PMID 42907937</w:t>
      </w:r>
    </w:p>
    <w:p>
      <w:r>
        <w:t>Zwei regionale Befragungen in italienischen Pflegeheimen (2021–2022 und 2024) zur Verfügbarkeit, Annahme und Nützlichkeit standardisierter Infektionspräventions-Verfahrensdokumente.</w:t>
      </w:r>
    </w:p>
    <w:p>
      <w:r>
        <w:rPr>
          <w:b/>
        </w:rPr>
        <w:t xml:space="preserve">Ergebnis: </w:t>
      </w:r>
      <w:r>
        <w:t>In der ersten Befragung (n=436 Heime, 55,9 % Response): hohe Verfügbarkeit schriftlicher Verfahren für Handhygiene (99,1 %), COVID-19-Isolation (99,8 %) und Reinigung (98,9 %); niedrig für Sterilisation (46,2 %), Bloodstream-Infektionsprävention (45,9 %) und Management colonisierter Patienten (62,0 %). Nach Verbreitung standardisierter Verfahren (2023) gaben 99,7 % der 305 teilnehmenden Heime (39,1 %) an, diese als angemessen zu befinden; 89 % urteilten insgesamt positiv.</w:t>
      </w:r>
    </w:p>
    <w:p>
      <w:r>
        <w:rPr>
          <w:b/>
          <w:sz w:val="19"/>
        </w:rPr>
        <w:t xml:space="preserve">Übertragbarkeit: </w:t>
      </w:r>
      <w:r>
        <w:rPr>
          <w:sz w:val="19"/>
        </w:rPr>
        <w:t>Italien, vergleichbares Gesundheitssystem; strukturierte regionale Ressourcen als Governance-Element.</w:t>
      </w:r>
    </w:p>
    <w:p>
      <w:r>
        <w:rPr>
          <w:color w:val="5A7D3A"/>
          <w:sz w:val="18"/>
        </w:rPr>
        <w:t>https://pubmed.ncbi.nlm.nih.gov/42907937/</w:t>
      </w:r>
    </w:p>
    <w:p>
      <w:pPr>
        <w:pStyle w:val="Heading1"/>
      </w:pPr>
      <w:r>
        <w:t>Aufgenommen am 24.10.2026</w:t>
      </w:r>
    </w:p>
    <w:p>
      <w:pPr>
        <w:pStyle w:val="Heading2"/>
      </w:pPr>
      <w:r>
        <w:t>Sturzprävention durch Schulung: Wirkung auf Wissen, Sicherheit und Fallraten bei älteren Patienten im Krankenhaus</w:t>
      </w:r>
    </w:p>
    <w:p>
      <w:r>
        <w:rPr>
          <w:i/>
          <w:color w:val="666666"/>
          <w:sz w:val="18"/>
        </w:rPr>
        <w:t>Kim E et al.  ·  BMC Geriatr  ·  27.07.2026  ·  PMID 42919133</w:t>
      </w:r>
    </w:p>
    <w:p>
      <w:r>
        <w:t>Quasi-experimentelle Studie zum Vergleich einer intensiven, partizipativen Schulung (APREAL) mit Routineunterricht bei 70 älteren Patienten in koreanischen Pflegestationen.</w:t>
      </w:r>
    </w:p>
    <w:p>
      <w:r>
        <w:rPr>
          <w:b/>
        </w:rPr>
        <w:t xml:space="preserve">Ergebnis: </w:t>
      </w:r>
      <w:r>
        <w:t>APREAL-Gruppe zeigte signifikant höhere Werte für Sturzwissen (F=27,41; p&lt;0,001; η²=0,287), Selbstwirksamkeit (F=32,85; p&lt;0,001; η²=0,326) und Sturzpräventionsverhalten (F=93,14; p&lt;0,001; η²=0,578). Die Sturzrate war auf der Interventionsstation numerisch niedriger (0,0 vs. 2,3 pro 1.000 Patiententage), ohne statistische Kontrolle.</w:t>
      </w:r>
    </w:p>
    <w:p>
      <w:r>
        <w:rPr>
          <w:b/>
          <w:sz w:val="19"/>
        </w:rPr>
        <w:t xml:space="preserve">Übertragbarkeit: </w:t>
      </w:r>
      <w:r>
        <w:rPr>
          <w:sz w:val="19"/>
        </w:rPr>
        <w:t>Südkorea mit vergleichbarem Versorgungsmodell; Sicherheitsbefund zur Schulungseffektivität übertragbar.</w:t>
      </w:r>
    </w:p>
    <w:p>
      <w:r>
        <w:rPr>
          <w:color w:val="5A7D3A"/>
          <w:sz w:val="18"/>
        </w:rPr>
        <w:t>https://pubmed.ncbi.nlm.nih.gov/42919133/</w:t>
      </w:r>
    </w:p>
    <w:p>
      <w:pPr>
        <w:pStyle w:val="Heading2"/>
      </w:pPr>
      <w:r>
        <w:t>Informationsquellen und Selbstwirksamkeit: was pflegenden Angehörigen in der Demenzbetreuung hilft</w:t>
      </w:r>
    </w:p>
    <w:p>
      <w:r>
        <w:rPr>
          <w:i/>
          <w:color w:val="666666"/>
          <w:sz w:val="18"/>
        </w:rPr>
        <w:t>Goh YL et al.  ·  BMC Geriatr  ·  28.07.2026  ·  PMID 42919127</w:t>
      </w:r>
    </w:p>
    <w:p>
      <w:r>
        <w:t>Querschnittstudie an 258 pflegenden Angehörigen von Demenzpatienten in Malaysia, die untersuchte, wie Demenzwissen, eHealth-Literalität und Informationsquellen deren Selbstwirksamkeit beeinflussen.</w:t>
      </w:r>
    </w:p>
    <w:p>
      <w:r>
        <w:rPr>
          <w:b/>
        </w:rPr>
        <w:t xml:space="preserve">Ergebnis: </w:t>
      </w:r>
      <w:r>
        <w:t>Multiple Informationsquellen erhöhten Selbstwirksamkeit signifikant (erklärte Varianz von 6,7% auf 12,6%; p&lt;0,05). Schriftliche Materialien und ärztliche Beratung stärkten Vertrauen; Facebook und Selbsthilfegruppen verminderten Selbstwirksamkeit. Ländliche Angehörige fühlten sich weniger sicher bei Entlastungsangeboten; Verheiratete hatten weniger Schwierigkeiten mit Verhaltensproblemen.</w:t>
      </w:r>
    </w:p>
    <w:p>
      <w:r>
        <w:rPr>
          <w:b/>
          <w:sz w:val="19"/>
        </w:rPr>
        <w:t xml:space="preserve">Übertragbarkeit: </w:t>
      </w:r>
      <w:r>
        <w:rPr>
          <w:sz w:val="19"/>
        </w:rPr>
        <w:t>Malaysia, aber Muster zu Informationseffekten auf Angehörigenbelastung international relevant.</w:t>
      </w:r>
    </w:p>
    <w:p>
      <w:r>
        <w:rPr>
          <w:color w:val="5A7D3A"/>
          <w:sz w:val="18"/>
        </w:rPr>
        <w:t>https://pubmed.ncbi.nlm.nih.gov/42919127/</w:t>
      </w:r>
    </w:p>
    <w:p>
      <w:pPr>
        <w:pStyle w:val="Heading2"/>
      </w:pPr>
      <w:r>
        <w:t>Mütterliche Sterblichkeit: Schulung von Pflegefachpersonen verbessert Meldepraxis und Ermittlungen</w:t>
      </w:r>
    </w:p>
    <w:p>
      <w:r>
        <w:rPr>
          <w:i/>
          <w:color w:val="666666"/>
          <w:sz w:val="18"/>
        </w:rPr>
        <w:t>Pereira NAPG et al.  ·  Rev Lat Am Enfermagem  ·  16.10.2026  ·  PMID 42912033</w:t>
      </w:r>
    </w:p>
    <w:p>
      <w:r>
        <w:t>Epidemiologische Studie mit 143 Pflegefachpersonen aus dem Primärbereich in Brasilien zu Faktoren, die ihre Beteiligung an Überwachung mütterlicher Todesfälle beeinflussen.</w:t>
      </w:r>
    </w:p>
    <w:p>
      <w:r>
        <w:rPr>
          <w:b/>
        </w:rPr>
        <w:t xml:space="preserve">Ergebnis: </w:t>
      </w:r>
      <w:r>
        <w:t>Pflegefachpersonen mit Schulung zeigten signifikant höhere Chancen, Untersuchungsverfahren durchzuführen und an Meetings der Müttersterblichkeitskommission teilzunehmen (OR=5,82; 95%-KI: 2,46–13,75). Schulung war mit Kenntnis der Ziele des Komitees und deren Umsetzung assoziiert. Zeit in der Stelle korrelierte mit Schulungsteilnahme und Untersuchungspraxis.</w:t>
      </w:r>
    </w:p>
    <w:p>
      <w:r>
        <w:rPr>
          <w:b/>
          <w:sz w:val="19"/>
        </w:rPr>
        <w:t xml:space="preserve">Übertragbarkeit: </w:t>
      </w:r>
      <w:r>
        <w:rPr>
          <w:sz w:val="19"/>
        </w:rPr>
        <w:t>Brasilien, aber Effekt von Schulung auf Versorgungspraxis in multiprofessionalen Settings übertragbar.</w:t>
      </w:r>
    </w:p>
    <w:p>
      <w:r>
        <w:rPr>
          <w:color w:val="5A7D3A"/>
          <w:sz w:val="18"/>
        </w:rPr>
        <w:t>https://pubmed.ncbi.nlm.nih.gov/42912033/</w:t>
      </w:r>
    </w:p>
    <w:p>
      <w:pPr>
        <w:pStyle w:val="Heading2"/>
      </w:pPr>
      <w:r>
        <w:t>Pflege für transgender Frauen: Barrieren, Schulungsbedarf und inklusive Praktiken</w:t>
      </w:r>
    </w:p>
    <w:p>
      <w:r>
        <w:rPr>
          <w:i/>
          <w:color w:val="666666"/>
          <w:sz w:val="18"/>
        </w:rPr>
        <w:t>Vila Nova PVR et al.  ·  Rev Lat Am Enfermagem  ·  16.10.2026  ·  PMID 42912031</w:t>
      </w:r>
    </w:p>
    <w:p>
      <w:r>
        <w:t>Qualitative Studie mit 94 Pflegefachpersonen aus dem Primärbereich in ganz Brasilien zur Versorgung transgender Frauen nach Leininger's Theorie der transkulturellem Pflege.</w:t>
      </w:r>
    </w:p>
    <w:p>
      <w:r>
        <w:rPr>
          <w:b/>
        </w:rPr>
        <w:t xml:space="preserve">Ergebnis: </w:t>
      </w:r>
      <w:r>
        <w:t>Vier Themenbereiche: Herausforderungen und Barrieren (Vorurteile, Zugänglichkeit); wesentliche Handlungen und Versorgung; Einbeziehung und Respekt; Rolle von Pflegefachpersonen und Gemeindegesundheitsarbeitern. Mehrheit der Pflegefachpersonen hatte keine spezifische Schulung oder Protokolle für diese Bevölkerungsgruppe. Initiativen für Willkommenskultur und Gemeindegesundheitsarbeit wurden identifiziert.</w:t>
      </w:r>
    </w:p>
    <w:p>
      <w:r>
        <w:rPr>
          <w:b/>
          <w:sz w:val="19"/>
        </w:rPr>
        <w:t xml:space="preserve">Übertragbarkeit: </w:t>
      </w:r>
      <w:r>
        <w:rPr>
          <w:sz w:val="19"/>
        </w:rPr>
        <w:t>Brasilien, qualitatives Muster zu Schulungs- und Protokolldefiziten für spezialisierte Versorgung international relevant.</w:t>
      </w:r>
    </w:p>
    <w:p>
      <w:r>
        <w:rPr>
          <w:color w:val="5A7D3A"/>
          <w:sz w:val="18"/>
        </w:rPr>
        <w:t>https://pubmed.ncbi.nlm.nih.gov/42912031/</w:t>
      </w:r>
    </w:p>
    <w:p>
      <w:pPr>
        <w:pStyle w:val="Heading2"/>
      </w:pPr>
      <w:r>
        <w:t>Aktives Altern: wer profitiert? Übergänge pflegender älterer Menschen zwischen Pflege und Freiwilligenarbeit</w:t>
      </w:r>
    </w:p>
    <w:p>
      <w:r>
        <w:rPr>
          <w:i/>
          <w:color w:val="666666"/>
          <w:sz w:val="18"/>
        </w:rPr>
        <w:t>Cretazzo F et al.  ·  Front Public Health  ·  07.10.2026  ·  PMID 42909995</w:t>
      </w:r>
    </w:p>
    <w:p>
      <w:r>
        <w:t>Längsschnittanalyse von SHARE-Wellen 7–9 zur Untersuchung, wie Übergänge älterer Europäer in und aus der Rolle des ‚Super-Helpers' (gleichzeitig pflegend und freiwillig tätig) mit Gesundheitsergebnissen assoziiert sind.</w:t>
      </w:r>
    </w:p>
    <w:p>
      <w:r>
        <w:rPr>
          <w:b/>
        </w:rPr>
        <w:t xml:space="preserve">Ergebnis: </w:t>
      </w:r>
      <w:r>
        <w:t>Übergänge von alleiniger Pflege zu Super-Helper-Rolle verbesserten Gesundheitsmerkmale; Übergänge von Freiwilligenarbeit zu Super-Helper-Rolle verschlechterten sie. Übergänge von Super-Helper zu alleiniger Freiwilligenarbeit waren kurzfristig mit schlechterer Selbstwahrnehmung und depressiven Symptomen assoziiert (besonders bei früheren Co-Wohner-Pflegenden). Respite-Care zeigte schützende Effekte gegen Überbelastung.</w:t>
      </w:r>
    </w:p>
    <w:p>
      <w:r>
        <w:rPr>
          <w:b/>
          <w:sz w:val="19"/>
        </w:rPr>
        <w:t xml:space="preserve">Übertragbarkeit: </w:t>
      </w:r>
      <w:r>
        <w:rPr>
          <w:sz w:val="19"/>
        </w:rPr>
        <w:t>Europa (SHARE-Survey); Muster zu Pflegebelastung und Übergängen in Rollen für deutschsprachigen Raum relevant.</w:t>
      </w:r>
    </w:p>
    <w:p>
      <w:r>
        <w:rPr>
          <w:color w:val="5A7D3A"/>
          <w:sz w:val="18"/>
        </w:rPr>
        <w:t>https://pubmed.ncbi.nlm.nih.gov/42909995/</w:t>
      </w:r>
    </w:p>
    <w:p>
      <w:pPr>
        <w:pStyle w:val="Heading2"/>
      </w:pPr>
      <w:r>
        <w:t>Rehabilitative Pflege im Heim: Funktionsfähigkeit, Lebensqualität und Rückkehrerfolg in Deutschland</w:t>
      </w:r>
    </w:p>
    <w:p>
      <w:r>
        <w:rPr>
          <w:i/>
          <w:color w:val="666666"/>
          <w:sz w:val="18"/>
        </w:rPr>
        <w:t>Gierke F et al.  ·  Z Gerontol Geriatr  ·  02.10.2026  ·  PMID 42825944</w:t>
      </w:r>
    </w:p>
    <w:p>
      <w:r>
        <w:t>Prospektive Einarm-Studie mit 67 Bewohnern aus drei deutschen Heimen zur Wirkung eines strukturierten rehabilitativen Aktivierungsansatzes auf funktionelle Selbstständigkeit, Gesundheit und Rückkehr nach Hause.</w:t>
      </w:r>
    </w:p>
    <w:p>
      <w:r>
        <w:rPr>
          <w:b/>
        </w:rPr>
        <w:t xml:space="preserve">Ergebnis: </w:t>
      </w:r>
      <w:r>
        <w:t>Allgemeine Gesundheitswahrnehmung zeigte signifikanten Zeiteffekt (p=0,023). SF-36 zeigt signifikante Verbesserungen bei körperlicher Funktionsfähigkeit, sozialer Funktionsfähigkeit, psychischem Wohlbefinden (alle p&lt;0,05). 32,8% der Patienten (n=22) kehrten innerhalb von 6 Monaten nach Hause zurück. Funktionelle Unabhängigkeit erhöhte sich deskriptiv, aber nicht signifikant (p=0,306).</w:t>
      </w:r>
    </w:p>
    <w:p>
      <w:r>
        <w:rPr>
          <w:b/>
          <w:sz w:val="19"/>
        </w:rPr>
        <w:t xml:space="preserve">Übertragbarkeit: </w:t>
      </w:r>
      <w:r>
        <w:rPr>
          <w:sz w:val="19"/>
        </w:rPr>
        <w:t>Deutschland; Daten aus deutschen Pflegeheimen mit direkter Anwendbarkeit.</w:t>
      </w:r>
    </w:p>
    <w:p>
      <w:r>
        <w:rPr>
          <w:color w:val="5A7D3A"/>
          <w:sz w:val="18"/>
        </w:rPr>
        <w:t>https://pubmed.ncbi.nlm.nih.gov/42825944/</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