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13.10.2026  |  309 Studien  |  pflege.m-vf.de</w:t>
      </w:r>
    </w:p>
    <w:p>
      <w:pPr>
        <w:pStyle w:val="Heading1"/>
      </w:pPr>
      <w:r>
        <w:t>Aufgenommen am 13.10.2026</w:t>
      </w:r>
    </w:p>
    <w:p>
      <w:pPr>
        <w:pStyle w:val="Heading2"/>
      </w:pPr>
      <w:r>
        <w:t>Heimbasierte Herzrehabilitation erhöht Teilnahmequoten: Effekte in der US-Veteranenpflege</w:t>
      </w:r>
    </w:p>
    <w:p>
      <w:r>
        <w:rPr>
          <w:i/>
          <w:color w:val="666666"/>
          <w:sz w:val="18"/>
        </w:rPr>
        <w:t>Park LG et al.  ·  JAMA Netw Open  ·  01.10.2026  ·  PMID 42862558</w:t>
      </w:r>
    </w:p>
    <w:p>
      <w:r>
        <w:t>Kohortenstudie zur Teilnahme an Herzrehabilitationsprogrammen bei 405.907 Veteranen mit Herzerkrankungen, verglichen nach Verfügbarkeit von Center-based oder Home-based Angeboten.</w:t>
      </w:r>
    </w:p>
    <w:p>
      <w:r>
        <w:rPr>
          <w:b/>
        </w:rPr>
        <w:t xml:space="preserve">Ergebnis: </w:t>
      </w:r>
      <w:r>
        <w:t>Heimbasierte Programme (HBCR) erhöhten die Teilnahmequote auf 20,0 % gegenüber 14,8 % bei Center-based und 14,3 % bei reiner Überweisung in Gemeindeangebote (adjustierte Odds Ratio HBCR: 1,80; 95%-KI: 1,75–1,84). Die Gesamtteilnahmequote stieg von 9,6 % (2012) auf 17,1 % (2022). Ein Hinweis auf höhere Partizipation durch Flexibilität bei der Angebotsform.</w:t>
      </w:r>
    </w:p>
    <w:p>
      <w:r>
        <w:rPr>
          <w:b/>
          <w:sz w:val="19"/>
        </w:rPr>
        <w:t xml:space="preserve">Übertragbarkeit: </w:t>
      </w:r>
      <w:r>
        <w:rPr>
          <w:sz w:val="19"/>
        </w:rPr>
        <w:t>USA-Veteranensystem; Übertragbarkeit der Flexibilisierungsstrategie auf deutsche Krankenkassen-Rehabilitationen zu prüfen.</w:t>
      </w:r>
    </w:p>
    <w:p>
      <w:r>
        <w:rPr>
          <w:color w:val="5A7D3A"/>
          <w:sz w:val="18"/>
        </w:rPr>
        <w:t>https://pubmed.ncbi.nlm.nih.gov/42862558/</w:t>
      </w:r>
    </w:p>
    <w:p>
      <w:pPr>
        <w:pStyle w:val="Heading2"/>
      </w:pPr>
      <w:r>
        <w:t>Familiäre Resilienz und Lebensqualität: was pflegende Angehörige von Brustkrebspatienten bewirken</w:t>
      </w:r>
    </w:p>
    <w:p>
      <w:r>
        <w:rPr>
          <w:i/>
          <w:color w:val="666666"/>
          <w:sz w:val="18"/>
        </w:rPr>
        <w:t>Erdem N et al.  ·  Support Care Cancer  ·  12.10.2026  ·  PMID 42862377</w:t>
      </w:r>
    </w:p>
    <w:p>
      <w:r>
        <w:t>Cross-sectional-Studie mit 208 Patientin-Angehörigen-Dyaden zur Beziehung zwischen Familienresilienz und Lebensqualität der Patientin.</w:t>
      </w:r>
    </w:p>
    <w:p>
      <w:r>
        <w:rPr>
          <w:b/>
        </w:rPr>
        <w:t xml:space="preserve">Ergebnis: </w:t>
      </w:r>
      <w:r>
        <w:t>Mittlere Familienresilienzwerte: 3,14 ± 0,32. Signifikante positive Korrelation zwischen Gesamtresilienz der Angehörigen und Umwelt-Lebensqualität der Patientin (r = 0,264; p &lt; 0,001), aber nicht mit anderen Lebensqualitäts-Domänen. Höhere Schulbildung der Angehörigen war mit besserer Familienzusammenhalt assoziiert (p &lt; 0,05).</w:t>
      </w:r>
    </w:p>
    <w:p>
      <w:r>
        <w:rPr>
          <w:b/>
          <w:sz w:val="19"/>
        </w:rPr>
        <w:t xml:space="preserve">Übertragbarkeit: </w:t>
      </w:r>
      <w:r>
        <w:rPr>
          <w:sz w:val="19"/>
        </w:rPr>
        <w:t>Türkei, ähnliche Familienstrukturen; Fokus auf Ressourcenmobilisierung als Pflegeziel relevant für Deutschland.</w:t>
      </w:r>
    </w:p>
    <w:p>
      <w:r>
        <w:rPr>
          <w:color w:val="5A7D3A"/>
          <w:sz w:val="18"/>
        </w:rPr>
        <w:t>https://pubmed.ncbi.nlm.nih.gov/42862377/</w:t>
      </w:r>
    </w:p>
    <w:p>
      <w:pPr>
        <w:pStyle w:val="Heading2"/>
      </w:pPr>
      <w:r>
        <w:t>Organisationale Unterstützung und berufliches Wohlbefinden: Netzwerkanalyse bei chinesischen Pflegekräften</w:t>
      </w:r>
    </w:p>
    <w:p>
      <w:r>
        <w:rPr>
          <w:i/>
          <w:color w:val="666666"/>
          <w:sz w:val="18"/>
        </w:rPr>
        <w:t>Zhang X et al.  ·  Int Nurs Rev  ·  Dez. 2026  ·  PMID 42861841</w:t>
      </w:r>
    </w:p>
    <w:p>
      <w:r>
        <w:t>Netzwerkanalyse bei 586 chinesischen Pflegekräften zur Beziehung zwischen wahrgenommener organisationaler Unterstützung, beruflichen Vorteilen und psychischem Wohlbefinden (Flourishing).</w:t>
      </w:r>
    </w:p>
    <w:p>
      <w:r>
        <w:rPr>
          <w:b/>
        </w:rPr>
        <w:t xml:space="preserve">Ergebnis: </w:t>
      </w:r>
      <w:r>
        <w:t>Netzwerkdichte: 0,562. Drei Knoten mit hoher Konnektivität: "Tägliche Aufgaben interessieren mich tiefgreifend", "Zufriedenheit mit Leben", "Gute Patientin-Pfleger-Beziehung". "Positive Karrierewahrnehmung" zeigte höchste Brückenstärke (bridge strength). Zentralknoten und Brückenknoten identifizieren modifizierbare Faktoren für zukünftige Interventionen.</w:t>
      </w:r>
    </w:p>
    <w:p>
      <w:r>
        <w:rPr>
          <w:b/>
          <w:sz w:val="19"/>
        </w:rPr>
        <w:t xml:space="preserve">Übertragbarkeit: </w:t>
      </w:r>
      <w:r>
        <w:rPr>
          <w:sz w:val="19"/>
        </w:rPr>
        <w:t>China; Struktur-Fund zu zentralen Hebeln für Wohlbefinden auf Systemebene übertragbar, nationale Umsetzung erforderlich.</w:t>
      </w:r>
    </w:p>
    <w:p>
      <w:r>
        <w:rPr>
          <w:color w:val="5A7D3A"/>
          <w:sz w:val="18"/>
        </w:rPr>
        <w:t>https://pubmed.ncbi.nlm.nih.gov/42861841/</w:t>
      </w:r>
    </w:p>
    <w:p>
      <w:pPr>
        <w:pStyle w:val="Heading2"/>
      </w:pPr>
      <w:r>
        <w:t>Gesundheitskompetenz in der Dialysepflege: was Patientenedukation für Lebensqualität bewirkt</w:t>
      </w:r>
    </w:p>
    <w:p>
      <w:r>
        <w:rPr>
          <w:i/>
          <w:color w:val="666666"/>
          <w:sz w:val="18"/>
        </w:rPr>
        <w:t>Mostoles RJ et al.  ·  J Nurs Manag  ·  2026  ·  PMID 42860772</w:t>
      </w:r>
    </w:p>
    <w:p>
      <w:r>
        <w:t>Cross-sectional-Korrelationsstudie mit 215 Dialysepatienten zur Assoziation von Gesundheitskompetenz, sozialer Unterstützung und Nieren-spezifischer Lebensqualität.</w:t>
      </w:r>
    </w:p>
    <w:p>
      <w:r>
        <w:rPr>
          <w:b/>
        </w:rPr>
        <w:t xml:space="preserve">Ergebnis: </w:t>
      </w:r>
      <w:r>
        <w:t>91,7 % der Patienten hatten begrenzte Gesundheitskompetenz. Gesundheitskompetenz war signifikanter Prädiktor der Lebensqualität (β = 0,19; p = 0,012), erklärte aber nur 6,8 % der Varianz. 81,9 % bevorzugten verbale gegenüber schriftlicher Vermittlung. Implikation: Universal-Precautions-Ansatz mit Plain Language, visuellen Materialien und Teach-Back-Methode als Standard notwendig.</w:t>
      </w:r>
    </w:p>
    <w:p>
      <w:r>
        <w:rPr>
          <w:b/>
          <w:sz w:val="19"/>
        </w:rPr>
        <w:t xml:space="preserve">Übertragbarkeit: </w:t>
      </w:r>
      <w:r>
        <w:rPr>
          <w:sz w:val="19"/>
        </w:rPr>
        <w:t>Saudi-Arabien; Setting und Familienstrukturen anders, aber Befund zur Effektivität strukturierter Patientenedukation auf Versorgungsqualität übertragbar.</w:t>
      </w:r>
    </w:p>
    <w:p>
      <w:r>
        <w:rPr>
          <w:color w:val="5A7D3A"/>
          <w:sz w:val="18"/>
        </w:rPr>
        <w:t>https://pubmed.ncbi.nlm.nih.gov/42860772/</w:t>
      </w:r>
    </w:p>
    <w:p>
      <w:pPr>
        <w:pStyle w:val="Heading2"/>
      </w:pPr>
      <w:r>
        <w:t>Psychologische Sicherheit und Anpassung: was Mentoring für ausländische Pflegekräfte bedeutet</w:t>
      </w:r>
    </w:p>
    <w:p>
      <w:r>
        <w:rPr>
          <w:i/>
          <w:color w:val="666666"/>
          <w:sz w:val="18"/>
        </w:rPr>
        <w:t>Almutairi AS et al.  ·  J Nurs Manag  ·  2026  ·  PMID 42860760</w:t>
      </w:r>
    </w:p>
    <w:p>
      <w:r>
        <w:t>Qualitative Interviewstudie mit 17 Pflegekräften aus Philippinen, Indien, Pakistan und Ägypten zu Faktoren der psychologischen Sicherheit und kulturellen Anpassung in saudi-arabischen Krankenhäusern.</w:t>
      </w:r>
    </w:p>
    <w:p>
      <w:r>
        <w:rPr>
          <w:b/>
        </w:rPr>
        <w:t xml:space="preserve">Ergebnis: </w:t>
      </w:r>
      <w:r>
        <w:t>8 von 17 Pflegekräften mit strukturiertem Mentoring beschrieben konsistentere Sicherheitserfahrungen als 9 ohne oder mit informeller Unterstützung. Strukturiertes Mentoring, hierarchische Zugänglichkeit und explizite kulturelle Kompetenzarbeit förderten psychologische Sicherheit. Drei Themenkomplexe: 1) Unsicherheit unterminierende Kontexte (starre Hierarchien, Zweifeln an Qualifikationen), 2) organisatorisch geförderte Sicherheit (formales Mentoring, kollegiale Unterstützung), 3) sicherheitsermöglichte Anpassung.</w:t>
      </w:r>
    </w:p>
    <w:p>
      <w:r>
        <w:rPr>
          <w:b/>
          <w:sz w:val="19"/>
        </w:rPr>
        <w:t xml:space="preserve">Übertragbarkeit: </w:t>
      </w:r>
      <w:r>
        <w:rPr>
          <w:sz w:val="19"/>
        </w:rPr>
        <w:t>Saudi-Arabien; für Deutschland relevant bei Integration von Fachkräften aus Nicht-EU-Ländern, transferierbare Handlungsprinzipien.</w:t>
      </w:r>
    </w:p>
    <w:p>
      <w:r>
        <w:rPr>
          <w:color w:val="5A7D3A"/>
          <w:sz w:val="18"/>
        </w:rPr>
        <w:t>https://pubmed.ncbi.nlm.nih.gov/42860760/</w:t>
      </w:r>
    </w:p>
    <w:p>
      <w:pPr>
        <w:pStyle w:val="Heading2"/>
      </w:pPr>
      <w:r>
        <w:t>Künstliche Intelligenz in der Pflege: Auswirkung auf unterlassene Pflegeleistungen</w:t>
      </w:r>
    </w:p>
    <w:p>
      <w:r>
        <w:rPr>
          <w:i/>
          <w:color w:val="666666"/>
          <w:sz w:val="18"/>
        </w:rPr>
        <w:t>Alanazi FK et al.  ·  J Nurs Manag  ·  2026  ·  PMID 42860727</w:t>
      </w:r>
    </w:p>
    <w:p>
      <w:r>
        <w:t>Konvergente Mixed-Methods-Studie mit 210 Intensivpflegekräften und 14 Interviews zur Assoziation zwischen KI-gestütztem Decision Support, klinischem Entscheidungsverhalten und unterlassener Pflege.</w:t>
      </w:r>
    </w:p>
    <w:p>
      <w:r>
        <w:rPr>
          <w:b/>
        </w:rPr>
        <w:t xml:space="preserve">Ergebnis: </w:t>
      </w:r>
      <w:r>
        <w:t>Bivariate Korrelation zwischen Entscheidungsorientierung und unterlassener Pflege: r = −0,178 (p &lt; 0,01), aber im adjustierten Modell nicht signifikant (β = −0,124; p = 0,063). Modell erklärte 16,9 % der Varianz. Signifikante Prädiktoren: Berufserfahrung (β = 0,198; p = 0,004) und Bachelor-Grad vs. technische Ausbildung (β = −0,255; p &lt; 0,001). Qualitativ: Pflegekräfte sahen Potenzial (Alerts, Information, Workflow), aber auch Bedenken (Vertrauen, Überabhängigkeit, Empathie).</w:t>
      </w:r>
    </w:p>
    <w:p>
      <w:r>
        <w:rPr>
          <w:b/>
          <w:sz w:val="19"/>
        </w:rPr>
        <w:t xml:space="preserve">Übertragbarkeit: </w:t>
      </w:r>
      <w:r>
        <w:rPr>
          <w:sz w:val="19"/>
        </w:rPr>
        <w:t>Ägypten; KI-Implementierungsprinzipien (Schulung, Nutzerbarkeitsmonitoring, Klinischer Urteilsschutz) sind systemübergreifend relevant.</w:t>
      </w:r>
    </w:p>
    <w:p>
      <w:r>
        <w:rPr>
          <w:color w:val="5A7D3A"/>
          <w:sz w:val="18"/>
        </w:rPr>
        <w:t>https://pubmed.ncbi.nlm.nih.gov/42860727/</w:t>
      </w:r>
    </w:p>
    <w:p>
      <w:pPr>
        <w:pStyle w:val="Heading1"/>
      </w:pPr>
      <w:r>
        <w:t>Aufgenommen am 12.10.2026</w:t>
      </w:r>
    </w:p>
    <w:p>
      <w:pPr>
        <w:pStyle w:val="Heading2"/>
      </w:pPr>
      <w:r>
        <w:t>Klinisches Entscheidungssystem in deutschen Pflegeheimen: 72% passende Interventionsempfehlungen</w:t>
      </w:r>
    </w:p>
    <w:p>
      <w:r>
        <w:rPr>
          <w:i/>
          <w:color w:val="666666"/>
          <w:sz w:val="18"/>
        </w:rPr>
        <w:t>Pilz M et al.  ·  Health Care Manag Sci  ·  10.10.2026  ·  PMID 42859266</w:t>
      </w:r>
    </w:p>
    <w:p>
      <w:r>
        <w:t>Studie evaluierte einen hybriden klinischen Entscheidungsunterstützungssystem (CDSS) in zwei deutschen Pflegeheimen zu Mobilität und Schmerzmanagement.</w:t>
      </w:r>
    </w:p>
    <w:p>
      <w:r>
        <w:rPr>
          <w:b/>
        </w:rPr>
        <w:t xml:space="preserve">Ergebnis: </w:t>
      </w:r>
      <w:r>
        <w:t>Von CDSS-Empfehlungen wurden 72% von Pflegefachpersonen als situationsgerecht bewertet; Large-Language-Modell erzielte 76% Übereinstimmung beim Extrahieren relevanter Informationen aus Freitexteinträgen. Das System könnte Pflegeplanung unterstützen.</w:t>
      </w:r>
    </w:p>
    <w:p>
      <w:r>
        <w:rPr>
          <w:b/>
          <w:sz w:val="19"/>
        </w:rPr>
        <w:t xml:space="preserve">Übertragbarkeit: </w:t>
      </w:r>
      <w:r>
        <w:rPr>
          <w:sz w:val="19"/>
        </w:rPr>
        <w:t>Deutsche Studie, deutsches Pflegeheim-Setting, vergleichbare Dokumentation</w:t>
      </w:r>
    </w:p>
    <w:p>
      <w:r>
        <w:rPr>
          <w:color w:val="5A7D3A"/>
          <w:sz w:val="18"/>
        </w:rPr>
        <w:t>https://pubmed.ncbi.nlm.nih.gov/42859266/</w:t>
      </w:r>
    </w:p>
    <w:p>
      <w:pPr>
        <w:pStyle w:val="Heading2"/>
      </w:pPr>
      <w:r>
        <w:t>Interprofessionelle Entlassungsvorbereitung reduziert Krankenhauswiederaufnahmen im Alter</w:t>
      </w:r>
    </w:p>
    <w:p>
      <w:r>
        <w:rPr>
          <w:i/>
          <w:color w:val="666666"/>
          <w:sz w:val="18"/>
        </w:rPr>
        <w:t>Westerling U et al.  ·  BMC Geriatr  ·  06.10.2026  ·  PMID 42859151</w:t>
      </w:r>
    </w:p>
    <w:p>
      <w:r>
        <w:t>Schwedische Kohortenstudie mit Propensity-Score-Matching zur Wirkung eines zeitlich begrenzten, interprofessionellen Entlassungsmanagements nach Krankenhausaufenthalt bei über 75-Jährigen.</w:t>
      </w:r>
    </w:p>
    <w:p>
      <w:r>
        <w:rPr>
          <w:b/>
        </w:rPr>
        <w:t xml:space="preserve">Ergebnis: </w:t>
      </w:r>
      <w:r>
        <w:t>Nach 90 Tagen: Wiederaufnahmerate 20,3% (Intervention) vs. 33,6% (Kontrolle); Hazard Ratio 0,57 (95% KI 0,37–0,86, p=0,008). Nach 365 Tagen keine signifikanten Unterschiede in Sterblichkeit oder Wiederaufnahmen.</w:t>
      </w:r>
    </w:p>
    <w:p>
      <w:r>
        <w:rPr>
          <w:b/>
          <w:sz w:val="19"/>
        </w:rPr>
        <w:t xml:space="preserve">Übertragbarkeit: </w:t>
      </w:r>
      <w:r>
        <w:rPr>
          <w:sz w:val="19"/>
        </w:rPr>
        <w:t>Schweden, vergleichbares Gesundheitssystem, sektorenübergreifendes Setting</w:t>
      </w:r>
    </w:p>
    <w:p>
      <w:r>
        <w:rPr>
          <w:color w:val="5A7D3A"/>
          <w:sz w:val="18"/>
        </w:rPr>
        <w:t>https://pubmed.ncbi.nlm.nih.gov/42859151/</w:t>
      </w:r>
    </w:p>
    <w:p>
      <w:pPr>
        <w:pStyle w:val="Heading2"/>
      </w:pPr>
      <w:r>
        <w:t>Multikomponenteninterventionen reduzieren Belastung pflegender Angehöriger von Demenzpatienten</w:t>
      </w:r>
    </w:p>
    <w:p>
      <w:r>
        <w:rPr>
          <w:i/>
          <w:color w:val="666666"/>
          <w:sz w:val="18"/>
        </w:rPr>
        <w:t>Ito Y et al.  ·  Int J Geriatr Psychiatry  ·  Okt. 2026  ·  PMID 42858451</w:t>
      </w:r>
    </w:p>
    <w:p>
      <w:r>
        <w:t>Netzwerk-Metaanalyse von 67 randomisierten kontrollierten Studien zu nicht-pharmakologischen Interventionen für Angehörige von Menschen mit Demenz hinsichtlich Belastung und positiver Aspekte der Pflege.</w:t>
      </w:r>
    </w:p>
    <w:p>
      <w:r>
        <w:rPr>
          <w:b/>
        </w:rPr>
        <w:t xml:space="preserve">Ergebnis: </w:t>
      </w:r>
      <w:r>
        <w:t>Multikomponenteninterventionen zeigten signifikante Reduktion der Pflegebelastung (SMD: −0,33; 95% KI −0,63 bis −0,04). Andere Interventionstypen zeigten keine statistisch signifikanten Effekte. Evidenz für positive Aspekte der Pflege war spärlich.</w:t>
      </w:r>
    </w:p>
    <w:p>
      <w:r>
        <w:rPr>
          <w:b/>
          <w:sz w:val="19"/>
        </w:rPr>
        <w:t xml:space="preserve">Übertragbarkeit: </w:t>
      </w:r>
      <w:r>
        <w:rPr>
          <w:sz w:val="19"/>
        </w:rPr>
        <w:t>Internationale Evidenz, Langzeitpflege-fokussiert, relevante Interventionstypen</w:t>
      </w:r>
    </w:p>
    <w:p>
      <w:r>
        <w:rPr>
          <w:color w:val="5A7D3A"/>
          <w:sz w:val="18"/>
        </w:rPr>
        <w:t>https://pubmed.ncbi.nlm.nih.gov/42858451/</w:t>
      </w:r>
    </w:p>
    <w:p>
      <w:pPr>
        <w:pStyle w:val="Heading2"/>
      </w:pPr>
      <w:r>
        <w:t>Risikostratifiziertes Pflegemanagement nach Koronarangiografie: weniger Blutungen, schneller mobil</w:t>
      </w:r>
    </w:p>
    <w:p>
      <w:r>
        <w:rPr>
          <w:i/>
          <w:color w:val="666666"/>
          <w:sz w:val="18"/>
        </w:rPr>
        <w:t>Guo X et al.  ·  Front Public Health  ·  25.09.2026  ·  PMID 42857093</w:t>
      </w:r>
    </w:p>
    <w:p>
      <w:r>
        <w:t>Prospektive randomisierte Studie (n=240) zu Failure-Mode-and-Effects-Analysis-gestütztem, risikostratifiziertem Pflegemanagement versus Standardpflege nach Koronarangiografie.</w:t>
      </w:r>
    </w:p>
    <w:p>
      <w:r>
        <w:rPr>
          <w:b/>
        </w:rPr>
        <w:t xml:space="preserve">Ergebnis: </w:t>
      </w:r>
      <w:r>
        <w:t>NRS-Schmerzwert nach 24h signifikant geringer; Opioid-Verbrauch um 23,4% reduziert; klinisch relevante Blutungen 8,3% vs. 17,5%; erste Mobilisierung um 8,2h früher; Krankenhausaufenthalt um 1,8 Tage verkürzt; Funktionale Unabhängigkeit bei Entlassung um 11,2% verbessert.</w:t>
      </w:r>
    </w:p>
    <w:p>
      <w:r>
        <w:rPr>
          <w:b/>
          <w:sz w:val="19"/>
        </w:rPr>
        <w:t xml:space="preserve">Übertragbarkeit: </w:t>
      </w:r>
      <w:r>
        <w:rPr>
          <w:sz w:val="19"/>
        </w:rPr>
        <w:t>China, aber Sicherheitsstrukturen und Pflege-Outcomes sind übertragbar</w:t>
      </w:r>
    </w:p>
    <w:p>
      <w:r>
        <w:rPr>
          <w:color w:val="5A7D3A"/>
          <w:sz w:val="18"/>
        </w:rPr>
        <w:t>https://pubmed.ncbi.nlm.nih.gov/42857093/</w:t>
      </w:r>
    </w:p>
    <w:p>
      <w:pPr>
        <w:pStyle w:val="Heading2"/>
      </w:pPr>
      <w:r>
        <w:t>Achtsamkeitsbezogene Selbstfürsorge senkt berufliche Trauer bei ICU-Pflegenden</w:t>
      </w:r>
    </w:p>
    <w:p>
      <w:r>
        <w:rPr>
          <w:i/>
          <w:color w:val="666666"/>
          <w:sz w:val="18"/>
        </w:rPr>
        <w:t>Chen X et al.  ·  Front Public Health  ·  25.09.2026  ·  PMID 42856972</w:t>
      </w:r>
    </w:p>
    <w:p>
      <w:r>
        <w:t>Querschnittstudie (n=355 ICU-Pflegende) mit Latent-Profile-Analyse zu Zusammenhang zwischen achtsamkeitsbezogener Selbstfürsorge und beruflicher Trauer.</w:t>
      </w:r>
    </w:p>
    <w:p>
      <w:r>
        <w:rPr>
          <w:b/>
        </w:rPr>
        <w:t xml:space="preserve">Ergebnis: </w:t>
      </w:r>
      <w:r>
        <w:t>Zwei Profile: ‚Selbstfürsorge-Defizit' (32,5%) und ‚hohe Achtsamkeitspflege' (67,5%); hohes Achtsamkeitsprofil assoziiert mit signifikant geringerer beruflicher Trauer (p&lt;0,001); Einflussfaktoren: Gesundheitszustand und Selbstmitgefühl (p&lt;0,05).</w:t>
      </w:r>
    </w:p>
    <w:p>
      <w:r>
        <w:rPr>
          <w:b/>
          <w:sz w:val="19"/>
        </w:rPr>
        <w:t xml:space="preserve">Übertragbarkeit: </w:t>
      </w:r>
      <w:r>
        <w:rPr>
          <w:sz w:val="19"/>
        </w:rPr>
        <w:t>China, aber Belastungsstrukturen und Selbstfürsorge-Interventionen sind versorgungsübergreifend relevant</w:t>
      </w:r>
    </w:p>
    <w:p>
      <w:r>
        <w:rPr>
          <w:color w:val="5A7D3A"/>
          <w:sz w:val="18"/>
        </w:rPr>
        <w:t>https://pubmed.ncbi.nlm.nih.gov/42856972/</w:t>
      </w:r>
    </w:p>
    <w:p>
      <w:pPr>
        <w:pStyle w:val="Heading2"/>
      </w:pPr>
      <w:r>
        <w:t>Faktoren für Haltung pflegender Angehöriger zur Verzichtsentscheidung bei Demenz</w:t>
      </w:r>
    </w:p>
    <w:p>
      <w:r>
        <w:rPr>
          <w:i/>
          <w:color w:val="666666"/>
          <w:sz w:val="18"/>
        </w:rPr>
        <w:t>Kim K et al.  ·  Nurs Open  ·  Okt. 2026  ·  PMID 42854103</w:t>
      </w:r>
    </w:p>
    <w:p>
      <w:r>
        <w:t>Querschnittstudie (n=113) südkoreanischer Angehöriger von Demenzpatienten zu Faktoren, die ihre Einstellung zum Verzicht auf lebenserhaltende Maßnahmen prägen.</w:t>
      </w:r>
    </w:p>
    <w:p>
      <w:r>
        <w:rPr>
          <w:b/>
        </w:rPr>
        <w:t xml:space="preserve">Ergebnis: </w:t>
      </w:r>
      <w:r>
        <w:t>Ehepartner und Kinder zeigten günstigere Haltungen als andere Angehörige; Assoziationen mit Vorausplanungswissen, Religiosität und vorherigen Familiendiskussionen waren in Robustheitsanalysen nicht konsistent gestützt. Befunde sind explorativ und bedürfen weiterer Bestätigung.</w:t>
      </w:r>
    </w:p>
    <w:p>
      <w:r>
        <w:rPr>
          <w:b/>
          <w:sz w:val="19"/>
        </w:rPr>
        <w:t xml:space="preserve">Übertragbarkeit: </w:t>
      </w:r>
      <w:r>
        <w:rPr>
          <w:sz w:val="19"/>
        </w:rPr>
        <w:t>Südkorea, Aspekte zu Autonomie und Vorausplanung relevant für deutsches Setting</w:t>
      </w:r>
    </w:p>
    <w:p>
      <w:r>
        <w:rPr>
          <w:color w:val="5A7D3A"/>
          <w:sz w:val="18"/>
        </w:rPr>
        <w:t>https://pubmed.ncbi.nlm.nih.gov/42854103/</w:t>
      </w:r>
    </w:p>
    <w:p>
      <w:pPr>
        <w:pStyle w:val="Heading1"/>
      </w:pPr>
      <w:r>
        <w:t>Aufgenommen am 11.10.2026</w:t>
      </w:r>
    </w:p>
    <w:p>
      <w:pPr>
        <w:pStyle w:val="Heading2"/>
      </w:pPr>
      <w:r>
        <w:t>Emotionale Belastung von Hebammen und Pflegefachpersonen nach Totgeburten: Strategien der Trauerbewältigung</w:t>
      </w:r>
    </w:p>
    <w:p>
      <w:r>
        <w:rPr>
          <w:i/>
          <w:color w:val="666666"/>
          <w:sz w:val="18"/>
        </w:rPr>
        <w:t>Liao Y et al.  ·  Nurs Open  ·  Okt. 2026  ·  PMID 42854101</w:t>
      </w:r>
    </w:p>
    <w:p>
      <w:r>
        <w:t>Qualitative Phänomenologische Studie mit 10 Hebammen und Geburtspflegefachpersonen über ihre Erfahrungen in der Betreuung von Familien nach Totgeburt und ihre Bewältigungsstrategien.</w:t>
      </w:r>
    </w:p>
    <w:p>
      <w:r>
        <w:rPr>
          <w:b/>
        </w:rPr>
        <w:t xml:space="preserve">Ergebnis: </w:t>
      </w:r>
      <w:r>
        <w:t>Drei Themen: Fachpersonen waren emotional stark belastet durch kulturelle Tabus um Tod; erfahrene Fachkräfte praktizierten ‚stille Begleitung', weniger erfahrene mieden direkte Kommunikation; durch Reflexion lernten sie, emotionale Unterstützung zu geben und eigenes Wohlbefinden zu bewahren. Jüngere Fachkräfte benötigen Unterstützung.</w:t>
      </w:r>
    </w:p>
    <w:p>
      <w:r>
        <w:rPr>
          <w:b/>
          <w:sz w:val="19"/>
        </w:rPr>
        <w:t xml:space="preserve">Übertragbarkeit: </w:t>
      </w:r>
      <w:r>
        <w:rPr>
          <w:sz w:val="19"/>
        </w:rPr>
        <w:t>Chinesisches Setting, Befunde zu Trauerkompetenz und beruflicher Resilience übertragbar</w:t>
      </w:r>
    </w:p>
    <w:p>
      <w:r>
        <w:rPr>
          <w:color w:val="5A7D3A"/>
          <w:sz w:val="18"/>
        </w:rPr>
        <w:t>https://pubmed.ncbi.nlm.nih.gov/42854101/</w:t>
      </w:r>
    </w:p>
    <w:p>
      <w:pPr>
        <w:pStyle w:val="Heading2"/>
      </w:pPr>
      <w:r>
        <w:t>Mitgefühlsmüdigkeit und Lebensqualität von Pflegefachpersonen in der Langzeitversorgung Ghana</w:t>
      </w:r>
    </w:p>
    <w:p>
      <w:r>
        <w:rPr>
          <w:i/>
          <w:color w:val="666666"/>
          <w:sz w:val="18"/>
        </w:rPr>
        <w:t>Poku CA et al.  ·  Nurs Open  ·  Okt. 2026  ·  PMID 42854082</w:t>
      </w:r>
    </w:p>
    <w:p>
      <w:r>
        <w:t>Querschnittsstudie mit 269 Pflegefachpersonen in chronischen Pflegeeinheiten zu Zusammenhang zwischen Compassion Satisfaction, Burnout und Lebensqualität.</w:t>
      </w:r>
    </w:p>
    <w:p>
      <w:r>
        <w:rPr>
          <w:b/>
        </w:rPr>
        <w:t xml:space="preserve">Ergebnis: </w:t>
      </w:r>
      <w:r>
        <w:t>Hohe Compassion Satisfaction (42,43), moderater Burnout, moderate Lebensqualität (2,73). Compassion Satisfaction beeinflusste Lebensqualität positiv (β = 0,140, p &lt; 0,001), emotionale Erschöpfung negativ (β = -0,045, p &lt; 0,0001). Burnout mediierte partiell (F = 20,01, p &lt; 0,001); Alter moderierte den Effekt.</w:t>
      </w:r>
    </w:p>
    <w:p>
      <w:r>
        <w:rPr>
          <w:b/>
          <w:sz w:val="19"/>
        </w:rPr>
        <w:t xml:space="preserve">Übertragbarkeit: </w:t>
      </w:r>
      <w:r>
        <w:rPr>
          <w:sz w:val="19"/>
        </w:rPr>
        <w:t>Subsahara-Afrika, Befunde zu Well-being-Interventionen und Burnout-Mediation übertragbar</w:t>
      </w:r>
    </w:p>
    <w:p>
      <w:r>
        <w:rPr>
          <w:color w:val="5A7D3A"/>
          <w:sz w:val="18"/>
        </w:rPr>
        <w:t>https://pubmed.ncbi.nlm.nih.gov/42854082/</w:t>
      </w:r>
    </w:p>
    <w:p>
      <w:pPr>
        <w:pStyle w:val="Heading2"/>
      </w:pPr>
      <w:r>
        <w:t>Einhaltung von Schutzmaßnahmen auf Intensivstationen: Organisationale Unterstützung und Schulung</w:t>
      </w:r>
    </w:p>
    <w:p>
      <w:r>
        <w:rPr>
          <w:i/>
          <w:color w:val="666666"/>
          <w:sz w:val="18"/>
        </w:rPr>
        <w:t>Liu T et al.  ·  Nurs Open  ·  Okt. 2026  ·  PMID 42853967</w:t>
      </w:r>
    </w:p>
    <w:p>
      <w:r>
        <w:t>Querschnittstudie mit 378 Pflegefachpersonen aus fünf chinesischen Universitätskrankenhäusern zur Compliance mit Standard-Precautions und ihre Determinanten.</w:t>
      </w:r>
    </w:p>
    <w:p>
      <w:r>
        <w:rPr>
          <w:b/>
        </w:rPr>
        <w:t xml:space="preserve">Ergebnis: </w:t>
      </w:r>
      <w:r>
        <w:t>Gesamtcompliance 73,4 %. Compliance korrelierte positiv mit wahrgenommener organisationaler Unterstützung (r = 0,328, p &lt; 0,01). Geschlecht, Expositionsunfälle in den letzten 6 Monaten und organisationale Unterstützung waren unabhängig assoziiert. Strukturiertes Care-Bundle mit Training und psychologischer Unterstützung empfohlen.</w:t>
      </w:r>
    </w:p>
    <w:p>
      <w:r>
        <w:rPr>
          <w:b/>
          <w:sz w:val="19"/>
        </w:rPr>
        <w:t xml:space="preserve">Übertragbarkeit: </w:t>
      </w:r>
      <w:r>
        <w:rPr>
          <w:sz w:val="19"/>
        </w:rPr>
        <w:t>Tertiärkliniken China, Befunde zur organisationalen Einflussfaktoren auf Infektionsprävention universal</w:t>
      </w:r>
    </w:p>
    <w:p>
      <w:r>
        <w:rPr>
          <w:color w:val="5A7D3A"/>
          <w:sz w:val="18"/>
        </w:rPr>
        <w:t>https://pubmed.ncbi.nlm.nih.gov/42853967/</w:t>
      </w:r>
    </w:p>
    <w:p>
      <w:pPr>
        <w:pStyle w:val="Heading2"/>
      </w:pPr>
      <w:r>
        <w:t>Prognose-gesteuerte Symptomkontrolle in der Palliativversorgung: Biomarker und Pflegekompetenz</w:t>
      </w:r>
    </w:p>
    <w:p>
      <w:r>
        <w:rPr>
          <w:i/>
          <w:color w:val="666666"/>
          <w:sz w:val="18"/>
        </w:rPr>
        <w:t>Ibrahim AM et al.  ·  Palliat Support Care  ·  09.10.2026  ·  PMID 42850936</w:t>
      </w:r>
    </w:p>
    <w:p>
      <w:r>
        <w:t>Systematische Übersicht zur Rolle von Pflegefachpersonen bei der Früherkennung klinischen Niedergangs durch Laborwerte und klinische Beurteilung in der Krebspalliativversorgung.</w:t>
      </w:r>
    </w:p>
    <w:p>
      <w:r>
        <w:rPr>
          <w:b/>
        </w:rPr>
        <w:t xml:space="preserve">Ergebnis: </w:t>
      </w:r>
      <w:r>
        <w:t>14 Studien belegen: Biomarker (CRP, Albumin, Elektrolyte) vorhersagen Symptomverschlechterung; pflegegeleitet integrierte Ansätze reduzierten Notfallbesuche und verbesserten Versorgungskontinuität. Prognose-orientierte Modelle sind vielversprechend, aber klinische Integration noch begrenzt.</w:t>
      </w:r>
    </w:p>
    <w:p>
      <w:r>
        <w:rPr>
          <w:b/>
          <w:sz w:val="19"/>
        </w:rPr>
        <w:t xml:space="preserve">Übertragbarkeit: </w:t>
      </w:r>
      <w:r>
        <w:rPr>
          <w:sz w:val="19"/>
        </w:rPr>
        <w:t>Europäische und englischsprachige Krebszentren, Übertragbarkeit auf multidisziplinäre Teams</w:t>
      </w:r>
    </w:p>
    <w:p>
      <w:r>
        <w:rPr>
          <w:color w:val="5A7D3A"/>
          <w:sz w:val="18"/>
        </w:rPr>
        <w:t>https://pubmed.ncbi.nlm.nih.gov/42850936/</w:t>
      </w:r>
    </w:p>
    <w:p>
      <w:pPr>
        <w:pStyle w:val="Heading2"/>
      </w:pPr>
      <w:r>
        <w:t>Patientenzufriedenheit mit Pflegeleistung im Krankenhaus: Validierung eines Messinstruments in Italien</w:t>
      </w:r>
    </w:p>
    <w:p>
      <w:r>
        <w:rPr>
          <w:i/>
          <w:color w:val="666666"/>
          <w:sz w:val="18"/>
        </w:rPr>
        <w:t>D'Accolti D et al.  ·  J Nurs Manag  ·  2026  ·  PMID 42850820</w:t>
      </w:r>
    </w:p>
    <w:p>
      <w:r>
        <w:t>Italienische Validierung des Patient Satisfaction with Nursing Care Quality Questionnaire in fünf Krankenhäusern an 698 Patienten zur Bewertung pflegerelevanter Versorgungsqualität.</w:t>
      </w:r>
    </w:p>
    <w:p>
      <w:r>
        <w:rPr>
          <w:b/>
        </w:rPr>
        <w:t xml:space="preserve">Ergebnis: </w:t>
      </w:r>
      <w:r>
        <w:t>Ein zwei-Faktor-Modell zeigte ausgezeichnete interne Konsistenz (ω = 0,95), mit positiven Korrelationen zu globalen Zufriedenheitsindikatoren (r = 0,45–0,88). Pflegeleistung wird in den Dimensionen Kernpflege und Entlassmanagement abgebildet; das Instrument unterstützt Qualitätsmessung in Krankenhäusern.</w:t>
      </w:r>
    </w:p>
    <w:p>
      <w:r>
        <w:rPr>
          <w:b/>
          <w:sz w:val="19"/>
        </w:rPr>
        <w:t xml:space="preserve">Übertragbarkeit: </w:t>
      </w:r>
      <w:r>
        <w:rPr>
          <w:sz w:val="19"/>
        </w:rPr>
        <w:t>Südeuropäische Validierung in Universitas-Krankenhaus, vergleichbare Versorgungsstrukturen</w:t>
      </w:r>
    </w:p>
    <w:p>
      <w:r>
        <w:rPr>
          <w:color w:val="5A7D3A"/>
          <w:sz w:val="18"/>
        </w:rPr>
        <w:t>https://pubmed.ncbi.nlm.nih.gov/42850820/</w:t>
      </w:r>
    </w:p>
    <w:p>
      <w:pPr>
        <w:pStyle w:val="Heading2"/>
      </w:pPr>
      <w:r>
        <w:t>Haltungen von pflegenden Angehörigen zum Verzicht auf Arzneimittel im Pflegeheim: Südkorea</w:t>
      </w:r>
    </w:p>
    <w:p>
      <w:r>
        <w:rPr>
          <w:i/>
          <w:color w:val="666666"/>
          <w:sz w:val="18"/>
        </w:rPr>
        <w:t>Jung JH et al.  ·  BMC Geriatr  ·  01.10.2026  ·  PMID 42850595</w:t>
      </w:r>
    </w:p>
    <w:p>
      <w:r>
        <w:t>Querschnittsstudie mit 973 Familienangehörigen von Pflegeheimbewohnern zu ihren Einstellungen zum Deprescribing bei Polypharmazie.</w:t>
      </w:r>
    </w:p>
    <w:p>
      <w:r>
        <w:rPr>
          <w:b/>
        </w:rPr>
        <w:t xml:space="preserve">Ergebnis: </w:t>
      </w:r>
      <w:r>
        <w:t>Bewohner nahmen durchschnittlich 5,6 ± 3,5 Arzneimittel; 16,3 % erlebten unerwünschte Ereignisse. Nach Korrektur für mehrfaches Testen: Unerwünschte Ereignisse, Medikamentenkosten, Medikamentenzahl und Chronische-Erkrankungen-Zahl waren mit Sorgen um Deprescribing assoziiert; Angehörige-Soziodemografie spielte keine Rolle.</w:t>
      </w:r>
    </w:p>
    <w:p>
      <w:r>
        <w:rPr>
          <w:b/>
          <w:sz w:val="19"/>
        </w:rPr>
        <w:t xml:space="preserve">Übertragbarkeit: </w:t>
      </w:r>
      <w:r>
        <w:rPr>
          <w:sz w:val="19"/>
        </w:rPr>
        <w:t>Ostasiatisches Versicherungssystem, Befunde zu Medikamentensicherheit im Heim international relevant</w:t>
      </w:r>
    </w:p>
    <w:p>
      <w:r>
        <w:rPr>
          <w:color w:val="5A7D3A"/>
          <w:sz w:val="18"/>
        </w:rPr>
        <w:t>https://pubmed.ncbi.nlm.nih.gov/42850595/</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Wang Y et al.  ·  J Vis Exp  ·  08.09.2026  ·  PMID 42714036</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https://pubmed.ncbi.nlm.nih.gov/42714036/</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2026-10-13T06:00:00Z</dcterms:created>
  <dcterms:modified xsi:type="dcterms:W3CDTF">2026-10-13T06:00:00Z</dcterms:modified>
  <cp:category/>
</cp:coreProperties>
</file>