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29.09.2026  |  6 Studien  |  pflege.m-vf.de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Barrieren für Advance Care Planning in der Krebsversorgung: Ärzte und Pflegende in Oman</w:t>
      </w:r>
    </w:p>
    <w:p>
      <w:r>
        <w:rPr>
          <w:i/>
          <w:color w:val="666666"/>
          <w:sz w:val="18"/>
        </w:rPr>
        <w:t>Al-Zadjali K et al.  ·  Int J Nurs Sci  ·  18.08.2026  ·  PMID 42805732</w:t>
      </w:r>
    </w:p>
    <w:p>
      <w:r>
        <w:t>Querschnittstudie mit 296 Fachleuten (29 % Ärzte, 71 % Pflegende) an drei Krebskliniken untersuchte Wissen, Einstellungen und Praktiken zum Advance Care Planning (ACP).</w:t>
      </w:r>
    </w:p>
    <w:p>
      <w:r>
        <w:rPr>
          <w:b/>
        </w:rPr>
        <w:t xml:space="preserve">Ergebnis: </w:t>
      </w:r>
      <w:r>
        <w:t>91,9 % der Teilnehmer hatten unzureichendes ACP-Wissen, 48,0 % unzureichende Praktiken, 46,0 % ungünstige Einstellungen. Ärzte hatten signifikant höhere Wissens- (9,07 vs. 7,87, p &lt; 0,01) und Einstellungswerte (81,86 vs. 70,89, p &lt; 0,01) als Pflegende. Hauptbarrieren: fehlende Kommunikationsfähigkeiten (57,6 %), organisatorische Policies (45,1 %), mangelnde Patientenbereitschaft (38,7 %). Bildungsinterventionen und verbesserte Policies sind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Oman - System mit anderen Rahmenbedingungen, Fachkompetenzdefizite übertragbar</w:t>
      </w:r>
    </w:p>
    <w:p>
      <w:r>
        <w:rPr>
          <w:color w:val="5A7D3A"/>
          <w:sz w:val="18"/>
        </w:rPr>
        <w:t>https://pubmed.ncbi.nlm.nih.gov/42805732/</w:t>
      </w:r>
    </w:p>
    <w:p>
      <w:pPr>
        <w:pStyle w:val="Heading2"/>
      </w:pPr>
      <w:r>
        <w:t>Professionelle Identität, Pädagogenkompetenzen und Bereitschaft zu Altenpflege: Pflegestudierendenstudie</w:t>
      </w:r>
    </w:p>
    <w:p>
      <w:r>
        <w:rPr>
          <w:i/>
          <w:color w:val="666666"/>
          <w:sz w:val="18"/>
        </w:rPr>
        <w:t>Wang S et al.  ·  Int J Gynecol Pathol  ·  28.09.2026  ·  PMID 42804804</w:t>
      </w:r>
    </w:p>
    <w:p>
      <w:r>
        <w:t>Querschnittstudie mit 842 Pflegestudierenden untersuchte Zusammenhänge zwischen professioneller Identität, wahrgenommener Pädagogenkompetenz und Bereitschaft zur Gerontologie.</w:t>
      </w:r>
    </w:p>
    <w:p>
      <w:r>
        <w:rPr>
          <w:b/>
        </w:rPr>
        <w:t xml:space="preserve">Ergebnis: </w:t>
      </w:r>
      <w:r>
        <w:t>Professionelle Identität-Score 59,77 ± 10,85; Pädagogenkompetenz 111,70 ± 19,42; Altenpflege-Bereitschaft 71,71 ± 11,17. Identität korrelierte positiv mit Pädagogenkompetenz (β = 0,70, p &lt; 0,001); Pädagogenkompetenz mit Altenpflege-Bereitschaft (β = 0,33, p &lt; 0,001). Pädagogenkompetenz mediierte indirekt Assoziation Identität-Bereitschaft (indirekter Effekt = 0,230, 95 % CI [0,164, 0,296]). Finales Strukturmodell guter Fit (χ²/df = 2,954, GFI = 0,961, TLI = 0,977, CFI = 0,983).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Ausbildungseffekte auf Berufszufriedenheit relevant</w:t>
      </w:r>
    </w:p>
    <w:p>
      <w:r>
        <w:rPr>
          <w:color w:val="5A7D3A"/>
          <w:sz w:val="18"/>
        </w:rPr>
        <w:t>https://pubmed.ncbi.nlm.nih.gov/42804804/</w:t>
      </w:r>
    </w:p>
    <w:p>
      <w:pPr>
        <w:pStyle w:val="Heading2"/>
      </w:pPr>
      <w:r>
        <w:t>Co-kreierte Führung und Pflegearb eitsumgebung in Saudi-Arabien: Partizipative Interventionsstudie</w:t>
      </w:r>
    </w:p>
    <w:p>
      <w:r>
        <w:rPr>
          <w:i/>
          <w:color w:val="666666"/>
          <w:sz w:val="18"/>
        </w:rPr>
        <w:t>Alruwaili MM  ·  J Nurs Manag  ·  2026  ·  PMID 42802664</w:t>
      </w:r>
    </w:p>
    <w:p>
      <w:r>
        <w:t>Fünf-Krankenhaus-Partizipative-Aktionsforschung (N = 200, Retention 86 %) evaluierte kokreierte unterstützende Führung auf Arbeitsumgebung, Burnout und Verbleib.</w:t>
      </w:r>
    </w:p>
    <w:p>
      <w:r>
        <w:rPr>
          <w:b/>
        </w:rPr>
        <w:t xml:space="preserve">Ergebnis: </w:t>
      </w:r>
      <w:r>
        <w:t>Practice Environment Scale verbesserte sich (d = 0,36). Personen- und arbeitsbedingte Burnout sanken, Arbeitszufriedenheit stieg, Kündigungsabsicht sank; patientenbezogenes Burnout blieb unverändert. 13 von 20 unadjustierten Change-Pathway-Intervallen schlossen Null aus. Vier Interaktionen nominal signifikant, keine überlebten False-Discovery-Rate-Korrektur. Qualitative Daten kontextualisierten, bestätigten aber nicht vollständig quantitative Muster.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Saudi-Arabien, hierarchische Strukturen - Führungsmechanismen teilweise übertragbar</w:t>
      </w:r>
    </w:p>
    <w:p>
      <w:r>
        <w:rPr>
          <w:color w:val="5A7D3A"/>
          <w:sz w:val="18"/>
        </w:rPr>
        <w:t>https://pubmed.ncbi.nlm.nih.gov/42802664/</w:t>
      </w:r>
    </w:p>
    <w:p>
      <w:pPr>
        <w:pStyle w:val="Heading2"/>
      </w:pPr>
      <w:r>
        <w:t>Mobbing, Mitgefühlsmüdigkeit und Organisationsstille bei Operationssaalspflegenden</w:t>
      </w:r>
    </w:p>
    <w:p>
      <w:r>
        <w:rPr>
          <w:i/>
          <w:color w:val="666666"/>
          <w:sz w:val="18"/>
        </w:rPr>
        <w:t>Eslami J et al.  ·  J Nurs Manag  ·  2026  ·  PMID 42802612</w:t>
      </w:r>
    </w:p>
    <w:p>
      <w:r>
        <w:t>Querschnittsstudie mit 305 OP-Pflegenden in iranischen Lehrkrankenhäusern untersuchte Zusammenhänge zwischen Mobbing, Mitgefühlsmüdigkeit und Organisationsstille (Unwilligkeit, Sicherheitsbedenken zu äußern).</w:t>
      </w:r>
    </w:p>
    <w:p>
      <w:r>
        <w:rPr>
          <w:b/>
        </w:rPr>
        <w:t xml:space="preserve">Ergebnis: </w:t>
      </w:r>
      <w:r>
        <w:t>OP-Pflegende berichteten moderate Mobbing- und Mitgefühlsmüdigkeitswerte, aber hohe Organisationsstille-Scores. Mobbing (β = 0,35, p &lt; 0,001) und Mitgefühlsmüdigkeit (β = 0,27, p &lt; 0,001) waren mit höherer Organisationsstille assoziiert. Interaktion war signifikant (β = 0,18, p = 0,002; R² = 0,34): Assoziation Mobbing-Stille war stärker bei hoher Mitgefühlsmüdigkeit. Befristet beschäftigte Pflegende berichteten höhere Stille als Festangestellte.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 - Strukturen und Faktoren kulturübergreifend relevant</w:t>
      </w:r>
    </w:p>
    <w:p>
      <w:r>
        <w:rPr>
          <w:color w:val="5A7D3A"/>
          <w:sz w:val="18"/>
        </w:rPr>
        <w:t>https://pubmed.ncbi.nlm.nih.gov/42802612/</w:t>
      </w:r>
    </w:p>
    <w:p>
      <w:pPr>
        <w:pStyle w:val="Heading2"/>
      </w:pPr>
      <w:r>
        <w:t>Advanced Practice Nursing in der Schweizer Gemeindeversorgung: Symposium-Kernaussagen</w:t>
      </w:r>
    </w:p>
    <w:p>
      <w:r>
        <w:rPr>
          <w:i/>
          <w:color w:val="666666"/>
          <w:sz w:val="18"/>
        </w:rPr>
        <w:t>Pellet J et al.  ·  Swiss Med Wkly  ·  22.09.2026  ·  PMID 42801452</w:t>
      </w:r>
    </w:p>
    <w:p>
      <w:r>
        <w:t>Überblick eines nationalen Symposiums (Dezember 2025) mit Schweizer Fachexperten zu Advanced Practice Nursing (APN) als Hebel zur Sicherung zugänglicher, koordinierter Gemeindeversorgung bei Fachkräftemangel und wachsender Multimorbidität.</w:t>
      </w:r>
    </w:p>
    <w:p>
      <w:r>
        <w:rPr>
          <w:b/>
        </w:rPr>
        <w:t xml:space="preserve">Ergebnis: </w:t>
      </w:r>
      <w:r>
        <w:t>Internationale Evidenz unterstützt APN-Beitrag zu Zugang, Kontinuität und Versorgungsqualität. APN-Integration in Schweizer Gesundheitssystem bleibt heterogen. Kernaussage: APN as vielversprechendster Hebel zur Aufrechterhaltung Gemeindeversorgung trotz Arztkräftemangel, steigende Multimorbidität, alternde Bevölkerung; Standardisierung und Integrationswege in allen Kantonen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ähnliches Versicherungssystem, vergleichbare Ausgangslage</w:t>
      </w:r>
    </w:p>
    <w:p>
      <w:r>
        <w:rPr>
          <w:color w:val="5A7D3A"/>
          <w:sz w:val="18"/>
        </w:rPr>
        <w:t>https://pubmed.ncbi.nlm.nih.gov/42801452/</w:t>
      </w:r>
    </w:p>
    <w:p>
      <w:pPr>
        <w:pStyle w:val="Heading2"/>
      </w:pPr>
      <w:r>
        <w:t>Pflegend-Patient-Beziehung in dänischen Intensivstationen: Ethnografische Studie</w:t>
      </w:r>
    </w:p>
    <w:p>
      <w:r>
        <w:rPr>
          <w:i/>
          <w:color w:val="666666"/>
          <w:sz w:val="18"/>
        </w:rPr>
        <w:t>Søndergaard MP et al.  ·  Aust Crit Care  ·  18.09.2026  ·  PMID 42759354</w:t>
      </w:r>
    </w:p>
    <w:p>
      <w:r>
        <w:t>Ethnografische Studie (94 h Beobachtungen mit 25 Patienten, Dänemark Mai 2024–März 2025) untersuchte wie Pflegende Beziehungen zu bewusst beatmeten Intensivpatienten gestalten.</w:t>
      </w:r>
    </w:p>
    <w:p>
      <w:r>
        <w:rPr>
          <w:b/>
        </w:rPr>
        <w:t xml:space="preserve">Ergebnis: </w:t>
      </w:r>
      <w:r>
        <w:t>Vier Subthemen innerhalb übergeordneter Dimension der relationalen Orientierung auf Kontinuum: (1) Navigation der Aufmerksamkeit in Patientenversorgung; (2) Patientenanwaltschaft als zentral für Vertrauensaufbau; (3) aktive Patientenbeteiligung als zentral; (4) Berührung als Aspekt nonverbaler Kommunikation. Pflegende navigieren dynamisch Kontinuum zwischen technisch-instrumentellem und relationalem Fokus unter Ausbalancierung von Sicherheit, Vertrauen, Zusammenarbeit, Aufmerksamkeit und Patienteninvolvierung.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skandinavische Gesundheitssystem-Strukturen, Relationsqualität übertragbar</w:t>
      </w:r>
    </w:p>
    <w:p>
      <w:r>
        <w:rPr>
          <w:color w:val="5A7D3A"/>
          <w:sz w:val="18"/>
        </w:rPr>
        <w:t>https://pubmed.ncbi.nlm.nih.gov/42759354/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