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28.08.2026  |  6 Studien  |  pflege.m-vf.de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Akzeptanz von Pflegefachpersonen-geführten Sprechstunden in der Hausarztpraxis: Was deutsche Patienten bereit sind zu akzeptieren</w:t>
      </w:r>
    </w:p>
    <w:p>
      <w:r>
        <w:rPr>
          <w:i/>
          <w:color w:val="666666"/>
          <w:sz w:val="18"/>
        </w:rPr>
        <w:t>Wiens C et al.  ·  Eur J Gen Pract  ·  27.08.2026  ·  PMID 42658616</w:t>
      </w:r>
    </w:p>
    <w:p>
      <w:r>
        <w:t>Die Studie untersuchte die Bereitschaft der deutschen Bevölkerung, von Pflegefachpersonen geführte Konsultationen in der Hausarztpraxis zu akzeptieren.</w:t>
      </w:r>
    </w:p>
    <w:p>
      <w:r>
        <w:rPr>
          <w:b/>
        </w:rPr>
        <w:t xml:space="preserve">Ergebnis: </w:t>
      </w:r>
      <w:r>
        <w:t>83,6 % der Befragten ohne bisherige Erfahrung zeigten Bereitschaft, von Pflegefachpersonen betreut zu werden. Höheres Vertrauen in deren Fachkompetenz (OR 2,46; 95 % KI 1,60–3,82) und Kommunikationsfähigkeit (OR 1,80; 95 % KI 1,18–2,75) erhöhte die Akzeptanz; höheres Alter (OR 0,32) und Einzelpraxen (OR 0,69; 95 % KI 0,48–0,99) verringerten sie.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– Bevölkerungsbefragung, repräsentativ stratifiziert.</w:t>
      </w:r>
    </w:p>
    <w:p>
      <w:r>
        <w:rPr>
          <w:color w:val="5A7D3A"/>
          <w:sz w:val="18"/>
        </w:rPr>
        <w:t>https://pubmed.ncbi.nlm.nih.gov/42658616/</w:t>
      </w:r>
    </w:p>
    <w:p>
      <w:pPr>
        <w:pStyle w:val="Heading2"/>
      </w:pPr>
      <w:r>
        <w:t>Arzneimittelliteracy-Assessment in der Spitex: Implementierungsbarrieren und Erfolgsfaktoren</w:t>
      </w:r>
    </w:p>
    <w:p>
      <w:r>
        <w:rPr>
          <w:i/>
          <w:color w:val="666666"/>
          <w:sz w:val="18"/>
        </w:rPr>
        <w:t>Stenz S et al.  ·  Nurs Open  ·  Sept. 2026  ·  PMID 42656024</w:t>
      </w:r>
    </w:p>
    <w:p>
      <w:r>
        <w:t>Schweizer Pilotstudie zu Implementierungsfaktoren eines strukturierten Assessments zur Arzneimittelliteracy älterer Patienten in Pflegediensten.</w:t>
      </w:r>
    </w:p>
    <w:p>
      <w:r>
        <w:rPr>
          <w:b/>
        </w:rPr>
        <w:t xml:space="preserve">Ergebnis: </w:t>
      </w:r>
      <w:r>
        <w:t>Pflegefachpersonen identifizierten Barrieren: unzureichende Kommunikationsfähigkeiten, Wissensdefizite zu Assessmentinstrumenten, unklare Rollen in interprofessionellen Teams. Erfolgreiche Implementierung erforderte Bewusstsein für Patientennutzen, verständliche Anleitungen und klare Rollenklarheit. Interprofessionale Kollaboration war durch fehlende Kommunikation behindert.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 – vergleichbares Versicherungssystem, Spitex-Setting transferierbar.</w:t>
      </w:r>
    </w:p>
    <w:p>
      <w:r>
        <w:rPr>
          <w:color w:val="5A7D3A"/>
          <w:sz w:val="18"/>
        </w:rPr>
        <w:t>https://pubmed.ncbi.nlm.nih.gov/42656024/</w:t>
      </w:r>
    </w:p>
    <w:p>
      <w:pPr>
        <w:pStyle w:val="Heading2"/>
      </w:pPr>
      <w:r>
        <w:t>Zufriedenheit und Burnout im Notarztdienst: Was Freizeit für die Pflegefachpersonen bewirkt</w:t>
      </w:r>
    </w:p>
    <w:p>
      <w:r>
        <w:rPr>
          <w:i/>
          <w:color w:val="666666"/>
          <w:sz w:val="18"/>
        </w:rPr>
        <w:t>Neto S et al.  ·  Int J Environ Res Public Health  ·  12.08.2026  ·  PMID 42652364</w:t>
      </w:r>
    </w:p>
    <w:p>
      <w:r>
        <w:t>Portugiesische Querschnittstudie zu Faktoren der Arbeitszufriedenheit und Engagement von 103 Pflegefachpersonen im Notarztdienst.</w:t>
      </w:r>
    </w:p>
    <w:p>
      <w:r>
        <w:rPr>
          <w:b/>
        </w:rPr>
        <w:t xml:space="preserve">Ergebnis: </w:t>
      </w:r>
      <w:r>
        <w:t>Moderate Arbeitszufriedenheit insgesamt (M = 4,91; SD = 0,96). Freizeit- und Erholungsaktivitäten außerhalb der Arbeit waren statistisch signifikant mit höherer Arbeitszufriedenheit assoziiert. Engagement hatte den höchsten Mittelwert (M = 5,42), Jobzufriedenheit den niedrigsten (M = 4,04).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 – Notfallversorgung, Befunde zur Work-Life-Balance übertragbar.</w:t>
      </w:r>
    </w:p>
    <w:p>
      <w:r>
        <w:rPr>
          <w:color w:val="5A7D3A"/>
          <w:sz w:val="18"/>
        </w:rPr>
        <w:t>https://pubmed.ncbi.nlm.nih.gov/42652364/</w:t>
      </w:r>
    </w:p>
    <w:p>
      <w:pPr>
        <w:pStyle w:val="Heading2"/>
      </w:pPr>
      <w:r>
        <w:t>Selbstwirksamkeit moderiert Kompetenzentwicklung von Pflegeleiterinnen: strukturelle und persönliche Faktoren</w:t>
      </w:r>
    </w:p>
    <w:p>
      <w:r>
        <w:rPr>
          <w:i/>
          <w:color w:val="666666"/>
          <w:sz w:val="18"/>
        </w:rPr>
        <w:t>Ivziku D et al.  ·  J Nurs Scholarsh  ·  Sept. 2026  ·  PMID 42644668</w:t>
      </w:r>
    </w:p>
    <w:p>
      <w:r>
        <w:t>Italienische Querschnittstudie an 382 mittleren Pflegeleiterinnen zur Frage, welche organisatorischen und persönlichen Faktoren deren Managementkompetenz vorhersagen.</w:t>
      </w:r>
    </w:p>
    <w:p>
      <w:r>
        <w:rPr>
          <w:b/>
        </w:rPr>
        <w:t xml:space="preserve">Ergebnis: </w:t>
      </w:r>
      <w:r>
        <w:t>Fachliche Eignung, Autonomie und Rollenklarheit waren signifikant mit Kompetenzkenntnissen assoziiert. Selbstwirksamkeit moderierte diese Beziehungen: Bei höherer Selbstwirksamkeit reduzierte sich die Abhängigkeit von Ausbildungsadäquatheit (β = −0,456 für Wissen; β = −0,459 für Anwendung; p &lt; 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 – Strukturen vergleichbar, Befunde zur Leitungskompetenz relevant.</w:t>
      </w:r>
    </w:p>
    <w:p>
      <w:r>
        <w:rPr>
          <w:color w:val="5A7D3A"/>
          <w:sz w:val="18"/>
        </w:rPr>
        <w:t>https://pubmed.ncbi.nlm.nih.gov/42644668/</w:t>
      </w:r>
    </w:p>
    <w:p>
      <w:pPr>
        <w:pStyle w:val="Heading2"/>
      </w:pPr>
      <w:r>
        <w:t>Strukturiertes Entlassmanagement nach Herzinfarkt und Herzinsuffizienz: Machbarkeit und klinische Ergebnisse</w:t>
      </w:r>
    </w:p>
    <w:p>
      <w:r>
        <w:rPr>
          <w:i/>
          <w:color w:val="666666"/>
          <w:sz w:val="18"/>
        </w:rPr>
        <w:t>Avanzini F et al.  ·  G Ital Cardiol (Rome)  ·  Sept. 2026  ·  PMID 42643139</w:t>
      </w:r>
    </w:p>
    <w:p>
      <w:r>
        <w:t>Italienische prospektive Beobachtungsstudie zu einem ärztlich-pflegerischen Folgeprogramm nach Krankenhausentlassung wegen Myokardinfarkt oder Herzinsuffizienz über 12 Monate.</w:t>
      </w:r>
    </w:p>
    <w:p>
      <w:r>
        <w:rPr>
          <w:b/>
        </w:rPr>
        <w:t xml:space="preserve">Ergebnis: </w:t>
      </w:r>
      <w:r>
        <w:t>Von 343 Herzinfarkt-Patienten eingeschlossen: 263 (76,7 %); Completion 222 (84,4 %). Adhärenz und Zufriedenheit hoch. Six von sieben ESC-Qualitätsindikatoren für Herzinfarkt in &gt;90 % erreicht, 10 von 14 für Herzinsuffizienz. Adhärenz zu Medikation hoch; Defizite bei Risikofaktorkontrolle und Lebensstiländerungen.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 – Ambulante Nachsorge in Gemeindesettings, Entlassmanagement-Modell.</w:t>
      </w:r>
    </w:p>
    <w:p>
      <w:r>
        <w:rPr>
          <w:color w:val="5A7D3A"/>
          <w:sz w:val="18"/>
        </w:rPr>
        <w:t>https://pubmed.ncbi.nlm.nih.gov/42643139/</w:t>
      </w:r>
    </w:p>
    <w:p>
      <w:pPr>
        <w:pStyle w:val="Heading2"/>
      </w:pPr>
      <w:r>
        <w:t>Wiegen kritisch kranker Patienten auf der Intensivstation: wo die Praxis an ihre Grenzen stößt</w:t>
      </w:r>
    </w:p>
    <w:p>
      <w:r>
        <w:rPr>
          <w:i/>
          <w:color w:val="666666"/>
          <w:sz w:val="18"/>
        </w:rPr>
        <w:t>Wong A et al.  ·  Nurs Crit Care  ·  Sept. 2026  ·  PMID 42583681</w:t>
      </w:r>
    </w:p>
    <w:p>
      <w:r>
        <w:t>UK-weite Querschnittsbefragung von 530 Intensivpflegefachpersonen, Pharmazeuten und Therapeuten zu Hürden beim Wiegen von Patienten.</w:t>
      </w:r>
    </w:p>
    <w:p>
      <w:r>
        <w:rPr>
          <w:b/>
        </w:rPr>
        <w:t xml:space="preserve">Ergebnis: </w:t>
      </w:r>
      <w:r>
        <w:t>70,8 % berichten Wiegen aller Patienten, aber nur 42,6 % arbeiten in Einheiten mit formalen Wiegprotokollen. Geräteknappheit und Patientenkomplexität wurden als größte Barrieren genannt. Erhebliche Variation in Praxis deutet auf Lücken in Protokollen und Workflows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– Intensive Care Praxis, Dokumentation und Barrier-Analyse übertragbar.</w:t>
      </w:r>
    </w:p>
    <w:p>
      <w:r>
        <w:rPr>
          <w:color w:val="5A7D3A"/>
          <w:sz w:val="18"/>
        </w:rPr>
        <w:t>https://pubmed.ncbi.nlm.nih.gov/42583681/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2026-08-28T06:00:00Z</dcterms:created>
  <dcterms:modified xsi:type="dcterms:W3CDTF">2026-08-28T06:00:00Z</dcterms:modified>
  <cp:category/>
</cp:coreProperties>
</file>