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Pflege und Langzeitversorgung</w:t>
      </w:r>
    </w:p>
    <w:p>
      <w:r>
        <w:rPr>
          <w:i/>
          <w:color w:val="666666"/>
          <w:sz w:val="18"/>
        </w:rPr>
        <w:t>Stand: 14.09.2026  |  6 Studien  |  pflege.m-vf.de</w:t>
      </w:r>
    </w:p>
    <w:p>
      <w:pPr>
        <w:pStyle w:val="Heading1"/>
      </w:pPr>
      <w:r>
        <w:t>Aufgenommen am 14.09.2026</w:t>
      </w:r>
    </w:p>
    <w:p>
      <w:pPr>
        <w:pStyle w:val="Heading2"/>
      </w:pPr>
      <w:r>
        <w:t>Pflegeanforderungen von Angehörigen: Verhaltenssymptome und Belastung bei Demenz</w:t>
      </w:r>
    </w:p>
    <w:p>
      <w:r>
        <w:rPr>
          <w:i/>
          <w:color w:val="666666"/>
          <w:sz w:val="18"/>
        </w:rPr>
        <w:t>Chen T et al.  ·  J Neurol  ·  12.09.2026  ·  PMID 42731983</w:t>
      </w:r>
    </w:p>
    <w:p>
      <w:r>
        <w:t>Analyse von Verhaltens- und Psychologischen Symptomen als Bestimmungsfaktoren der Angehörigenbelastung bei frontotemporaler und Alzheimer-Demenz (N = 358 Patientinnen/Patienten, davon 172 mit Verlaufsdaten).</w:t>
      </w:r>
    </w:p>
    <w:p>
      <w:r>
        <w:rPr>
          <w:b/>
        </w:rPr>
        <w:t xml:space="preserve">Ergebnis: </w:t>
      </w:r>
      <w:r>
        <w:t>Verhaltensrigidität (standardisiert β = 0,15, p = 0,015) und Apathie (β = 0,14, p = 0,020) zeigten stärkste Assoziationen mit Belastung. Bei frontotemporaler Demenz war Verhaltensrigidität dominant (β = 0,18, p = 0,024); bei Alzheimer Apathie (β = 0,26, p = 0,021) und abnormes Verhalten (β = 0,26, p = 0,018). Zunahme von Stimmungssymptomen sagte Angehörigenbelastung vorher (β = 0,24, p = 0,048).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 - Symptommanagement in Langzeitversorgung international relevant.</w:t>
      </w:r>
    </w:p>
    <w:p>
      <w:r>
        <w:rPr>
          <w:color w:val="5A7D3A"/>
          <w:sz w:val="18"/>
        </w:rPr>
        <w:t>https://pubmed.ncbi.nlm.nih.gov/42731983/</w:t>
      </w:r>
    </w:p>
    <w:p>
      <w:pPr>
        <w:pStyle w:val="Heading2"/>
      </w:pPr>
      <w:r>
        <w:t>Patientenzentrierte Evidenztransformation in der Pflege: konzeptionelles Framework</w:t>
      </w:r>
    </w:p>
    <w:p>
      <w:r>
        <w:rPr>
          <w:i/>
          <w:color w:val="666666"/>
          <w:sz w:val="18"/>
        </w:rPr>
        <w:t>Hu ZH et al.  ·  Front Public Health  ·  28.08.2026  ·  PMID 42729801</w:t>
      </w:r>
    </w:p>
    <w:p>
      <w:r>
        <w:t>Narrative Übersichtsarbeit zu existierenden Implementierungsmodellen und Entwicklung eines Frameworks für patientenorientierte Evidenztransformation in die Pflegepraxis.</w:t>
      </w:r>
    </w:p>
    <w:p>
      <w:r>
        <w:rPr>
          <w:b/>
        </w:rPr>
        <w:t xml:space="preserve">Ergebnis: </w:t>
      </w:r>
      <w:r>
        <w:t>Bestehende Modelle (Knowledge-to-Action, Promoting Action on Research Implementation, Consolidated Framework for Implementation Research) adressieren isolierte Komponenten statt kontinuierlicher Pfade. Propositionales Framework mit sechs Komponenten (Evidenzerstellung, Patientenleitlinien-Versionen, Wissenschaftsvermittlung, Entscheidungshilfen, Dissemination, Anwendung) integriert Patientinnen/Patienten als aktive Akteure im gesamten Evidenzlebenszyklus und betont kontextuelle Anpassung.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Integratives Konzept für deutschsprachigen Raum relevant, empirische Validierung ausstehend.</w:t>
      </w:r>
    </w:p>
    <w:p>
      <w:r>
        <w:rPr>
          <w:color w:val="5A7D3A"/>
          <w:sz w:val="18"/>
        </w:rPr>
        <w:t>https://pubmed.ncbi.nlm.nih.gov/42729801/</w:t>
      </w:r>
    </w:p>
    <w:p>
      <w:pPr>
        <w:pStyle w:val="Heading2"/>
      </w:pPr>
      <w:r>
        <w:t>Übergangspflege nach Intensivaufenthalt: Versorgungslücken und Belastung pflegender Angehöriger</w:t>
      </w:r>
    </w:p>
    <w:p>
      <w:r>
        <w:rPr>
          <w:i/>
          <w:color w:val="666666"/>
          <w:sz w:val="18"/>
        </w:rPr>
        <w:t>Wang H et al.  ·  Front Public Health  ·  28.08.2026  ·  PMID 42729371</w:t>
      </w:r>
    </w:p>
    <w:p>
      <w:r>
        <w:t>Querschnittstudie zu ungedeckten Versorgungsbedarfen unmittelbar nach Intensivaufenthalt und deren Zusammenhang mit Belastung von 2270 Angehörigen-Patientinnen-/Patienten-Dyaden.</w:t>
      </w:r>
    </w:p>
    <w:p>
      <w:r>
        <w:rPr>
          <w:b/>
        </w:rPr>
        <w:t xml:space="preserve">Ergebnis: </w:t>
      </w:r>
      <w:r>
        <w:t>75,3 % der Dyaden verließen die Intensivstation mit hohen Versorgungslücken; höchste ungedeckte Bedarfe bei psychologischer Unterstützung für Angehörige (76,8 %) und Patientinnen/Patienten (74,2 %). Allerdings korrelierte die Zahl der Versorgungslücken nicht mit Angehörigen-Belastung (β = 0,00, 95 % KI −0,02–0,01); Belastung wurde stärker von täglichen Pflegestunden bestimmt (β = 0,83, p &lt; 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- direkter Übertrag begrenzt, aber Strukturfragen und post-intensives Syndrom relevant.</w:t>
      </w:r>
    </w:p>
    <w:p>
      <w:r>
        <w:rPr>
          <w:color w:val="5A7D3A"/>
          <w:sz w:val="18"/>
        </w:rPr>
        <w:t>https://pubmed.ncbi.nlm.nih.gov/42729371/</w:t>
      </w:r>
    </w:p>
    <w:p>
      <w:pPr>
        <w:pStyle w:val="Heading2"/>
      </w:pPr>
      <w:r>
        <w:t>Patientensicherheitskompetenz von Operationssaalpflegenden: Faktoren und Burnout-Assoziationen</w:t>
      </w:r>
    </w:p>
    <w:p>
      <w:r>
        <w:rPr>
          <w:i/>
          <w:color w:val="666666"/>
          <w:sz w:val="18"/>
        </w:rPr>
        <w:t>Chen D et al.  ·  Nurs Open  ·  Sept. 2026  ·  PMID 42728794</w:t>
      </w:r>
    </w:p>
    <w:p>
      <w:r>
        <w:t>Multizenterstudie zu Selbsteinschätzung der Patientensicherheitskompetenz von 443 Operationssaal-Pflegefachpersonen und ihre Zusammenhänge mit Sicherheitseinstellungen, systemischem Denken und Burnout.</w:t>
      </w:r>
    </w:p>
    <w:p>
      <w:r>
        <w:rPr>
          <w:b/>
        </w:rPr>
        <w:t xml:space="preserve">Ergebnis: </w:t>
      </w:r>
      <w:r>
        <w:t>Pflegende mit ≤ 5 Jahren OP-Erfahrung hatten um 10,2 Punkte niedrigere Sicherheitskompetenz-Scores als solche mit &gt; 20 Jahren (p &lt; 0,001). Feste Anstellung (β = 5,47, p = 0,025), Sicherheitstraining (β = 8,32, p &lt; 0,001) und höhere Sicherheitseinstellungen (β = 0,68, p &lt; 0,001) waren mit besseren Werten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Sicherheitsprinzipien und Erfahrungsstaffeln sind übertragbar.</w:t>
      </w:r>
    </w:p>
    <w:p>
      <w:r>
        <w:rPr>
          <w:color w:val="5A7D3A"/>
          <w:sz w:val="18"/>
        </w:rPr>
        <w:t>https://pubmed.ncbi.nlm.nih.gov/42728794/</w:t>
      </w:r>
    </w:p>
    <w:p>
      <w:pPr>
        <w:pStyle w:val="Heading2"/>
      </w:pPr>
      <w:r>
        <w:t>Respektvolle Geburtshilfe: Perspektiven von Pflegefachpersonen auf entwürdigendes Verhalten</w:t>
      </w:r>
    </w:p>
    <w:p>
      <w:r>
        <w:rPr>
          <w:i/>
          <w:color w:val="666666"/>
          <w:sz w:val="18"/>
        </w:rPr>
        <w:t>Horwood C et al.  ·  Glob Health Action  ·  11.09.2026  ·  PMID 42725425</w:t>
      </w:r>
    </w:p>
    <w:p>
      <w:r>
        <w:t>Qualitative Interviews (N = 18 Pflegende, 9 ländliche Krankenhäuser) zur Wahrnehmung von entwürdigender Pflege und deren Antriebsfaktoren im Kontext einer partizipativen Interventionsstudie (STAR).</w:t>
      </w:r>
    </w:p>
    <w:p>
      <w:r>
        <w:rPr>
          <w:b/>
        </w:rPr>
        <w:t xml:space="preserve">Ergebnis: </w:t>
      </w:r>
      <w:r>
        <w:t>Offen entwürdigende Verhaltensweisen (Ungezogenheit, Lautstärke, körperliche Strafen) sind alltäglich und kulturell normalisiert. Pflegende attribuierten diese Rauheit äußeren Faktoren (Stress, Burnout, schlechte Arbeitsbedingungen) und teilweise fehlender Patientinnen-/Patientencompliance zu, statt eigene professionelle Verantwortung zu sehen. Partizipative Reflexion half, Verständnis für achtungsvolle Pflege zu erweitern.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Südafrika - Kultur und Organisationsfaktoren erfordern Kontextanpassung für Deutschland.</w:t>
      </w:r>
    </w:p>
    <w:p>
      <w:r>
        <w:rPr>
          <w:color w:val="5A7D3A"/>
          <w:sz w:val="18"/>
        </w:rPr>
        <w:t>https://pubmed.ncbi.nlm.nih.gov/42725425/</w:t>
      </w:r>
    </w:p>
    <w:p>
      <w:pPr>
        <w:pStyle w:val="Heading2"/>
      </w:pPr>
      <w:r>
        <w:t>Interprofessionelle Zusammenarbeit und Pflegeaufgaben in der Intensivmedizin: eine Übersichtsarbeit</w:t>
      </w:r>
    </w:p>
    <w:p>
      <w:r>
        <w:rPr>
          <w:i/>
          <w:color w:val="666666"/>
          <w:sz w:val="18"/>
        </w:rPr>
        <w:t>Hornung J et al.  ·  Intensive Crit Care Nurs  ·  27.08.2026  ·  PMID 42659773</w:t>
      </w:r>
    </w:p>
    <w:p>
      <w:r>
        <w:t>Systematische Übersicht zu Faktoren, die die Zusammenarbeit zwischen Pflegepersonen und Ärztinnen/Ärzten in Intensivstationen prägen und wie Pflegende ihre Rollen innerhalb dieser Kooperation gestalten.</w:t>
      </w:r>
    </w:p>
    <w:p>
      <w:r>
        <w:rPr>
          <w:b/>
        </w:rPr>
        <w:t xml:space="preserve">Ergebnis: </w:t>
      </w:r>
      <w:r>
        <w:t>Kulturelle Faktoren (Vertrauen, Respekt, Vertrautheit), strukturelle Faktoren (Visiten, formale Diskussionen, Protokolle) und kommunikative Faktoren prägen die Zusammenarbeit. Pflegende berichten von eingeschränkten Rollen in interprofessionellen Austauschprozessen trotz hoher Kompetenz; protokollgestützte Autonomie und strukturierte Formate erhöhen ihre aktive Teilhabe.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und deutschsprachiger Raum, vergleichbare Organisationsstrukturen.</w:t>
      </w:r>
    </w:p>
    <w:p>
      <w:r>
        <w:rPr>
          <w:color w:val="5A7D3A"/>
          <w:sz w:val="18"/>
        </w:rPr>
        <w:t>https://pubmed.ncbi.nlm.nih.gov/42659773/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Pflege und Langzeitversorgung</dc:title>
  <dc:subject/>
  <dc:creator>Monitor Versorgungsforschung</dc:creator>
  <cp:keywords/>
  <dc:description>generated by python-docx</dc:description>
  <cp:lastModifiedBy/>
  <cp:revision>1</cp:revision>
  <dcterms:created xsi:type="dcterms:W3CDTF">2026-09-14T06:00:00Z</dcterms:created>
  <dcterms:modified xsi:type="dcterms:W3CDTF">2026-09-14T06:00:00Z</dcterms:modified>
  <cp:category/>
</cp:coreProperties>
</file>