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01.09.2026  |  6 Studien  |  pflege.m-vf.de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Kündigungsgründe nach Generationen: Was Pflegefachkräfte zum Weggehen bewegt</w:t>
      </w:r>
    </w:p>
    <w:p>
      <w:r>
        <w:rPr>
          <w:i/>
          <w:color w:val="666666"/>
          <w:sz w:val="18"/>
        </w:rPr>
        <w:t>Cesaro E et al.  ·  J Nurs Manag  ·  2026  ·  PMID 42671034</w:t>
      </w:r>
    </w:p>
    <w:p>
      <w:r>
        <w:t>Qualitative Studie mit 66 italienischen Pflegekräften, die gekündigt haben, zu Austrittsursachen nach Alter und Lebenslage.</w:t>
      </w:r>
    </w:p>
    <w:p>
      <w:r>
        <w:rPr>
          <w:b/>
        </w:rPr>
        <w:t xml:space="preserve">Ergebnis: </w:t>
      </w:r>
      <w:r>
        <w:t>Junge Pflegekräfte (Gen Z) nannten Onboarding-Mängel und Karriere-Hürden; mittlere Jahrgänge (Gen Y) Arbeitsbelastung und fehlende Anerkennung; ältere (Gen X) physische Belastung und logistische Barrieren. Durchgehend genannte Faktoren: chronische Unterbesetzung, mangelnde Flexibilität, schwache Führungsunterstützung.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 Klinikstruktur, Aussagen zu generationsspezifischen Bedürfnissen relevant für deutsches Fachkräftemanagement.</w:t>
      </w:r>
    </w:p>
    <w:p>
      <w:r>
        <w:rPr>
          <w:color w:val="5A7D3A"/>
          <w:sz w:val="18"/>
        </w:rPr>
        <w:t>https://pubmed.ncbi.nlm.nih.gov/42671034/</w:t>
      </w:r>
    </w:p>
    <w:p>
      <w:pPr>
        <w:pStyle w:val="Heading2"/>
      </w:pPr>
      <w:r>
        <w:t>Burnout bei Hebammen vorhersagen: Ein Prognose-Nomogramm mit sechs Risikofaktoren</w:t>
      </w:r>
    </w:p>
    <w:p>
      <w:r>
        <w:rPr>
          <w:i/>
          <w:color w:val="666666"/>
          <w:sz w:val="18"/>
        </w:rPr>
        <w:t>Zhan Y et al.  ·  J Nurs Manag  ·  2026  ·  PMID 42670673</w:t>
      </w:r>
    </w:p>
    <w:p>
      <w:r>
        <w:t>Querschnittstudie mit 209 chinesischen Hebammen zur Vorhersage von Compassion Fatigue anhand von Stressmodellen.</w:t>
      </w:r>
    </w:p>
    <w:p>
      <w:r>
        <w:rPr>
          <w:b/>
        </w:rPr>
        <w:t xml:space="preserve">Ergebnis: </w:t>
      </w:r>
      <w:r>
        <w:t>91,86 % der Hebammen zeigten irgendein Maß an Compassion Fatigue; 63,6 % moderate bis schwere Ausprägung. Sechs unabhängige Prädiktoren: Alter, Schlafqualität, wahrgenommene Anerkennung, Häufigkeit traumatischer Ereignisse, positive/negative Bewältigungsstrategien. Nomogramm-AUC 0,82 (95%-KI 0,76–0,88).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Risikomodell universell, Screening-Tool für alle Geburtshilfe-Settings adaptierbar.</w:t>
      </w:r>
    </w:p>
    <w:p>
      <w:r>
        <w:rPr>
          <w:color w:val="5A7D3A"/>
          <w:sz w:val="18"/>
        </w:rPr>
        <w:t>https://pubmed.ncbi.nlm.nih.gov/42670673/</w:t>
      </w:r>
    </w:p>
    <w:p>
      <w:pPr>
        <w:pStyle w:val="Heading2"/>
      </w:pPr>
      <w:r>
        <w:t>Arbeitszeit-Flexibilität und Pflegekraft-Verbleib: Evidenz aus Jordanien</w:t>
      </w:r>
    </w:p>
    <w:p>
      <w:r>
        <w:rPr>
          <w:i/>
          <w:color w:val="666666"/>
          <w:sz w:val="18"/>
        </w:rPr>
        <w:t>Odaibat R et al.  ·  J Nurs Manag  ·  2026  ·  PMID 42670662</w:t>
      </w:r>
    </w:p>
    <w:p>
      <w:r>
        <w:t>Querschnittsstudie mit 155 Pflegekräften aus fünf jordanischen Krankenhäusern zur Frage, ob flexible Arbeitspläne Retention beeinflussen.</w:t>
      </w:r>
    </w:p>
    <w:p>
      <w:r>
        <w:rPr>
          <w:b/>
        </w:rPr>
        <w:t xml:space="preserve">Ergebnis: </w:t>
      </w:r>
      <w:r>
        <w:t>Scheduling-Flexibilität und Verbleib korrelierten stark positiv (r = 0,79, p &lt; 0,01). Zu viele Nachtschichten, hohe Arbeitsbelastung und starre Zeitpläne waren signifikante negative Prädiktoren. Flexibilität als Managementstrategie erklärt Unterschiede in Kündigungsabsichten.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Mittlerer Osten, aber Zusammenhang zwischen Flexibilität und Verbleib in europäischen Sozialversicherungssystemen ähnlich relevant.</w:t>
      </w:r>
    </w:p>
    <w:p>
      <w:r>
        <w:rPr>
          <w:color w:val="5A7D3A"/>
          <w:sz w:val="18"/>
        </w:rPr>
        <w:t>https://pubmed.ncbi.nlm.nih.gov/42670662/</w:t>
      </w:r>
    </w:p>
    <w:p>
      <w:pPr>
        <w:pStyle w:val="Heading2"/>
      </w:pPr>
      <w:r>
        <w:t>Palliativkompetenz bei Krebspflegekräften: Drei Leistungsprofile und ihre Determinanten</w:t>
      </w:r>
    </w:p>
    <w:p>
      <w:r>
        <w:rPr>
          <w:i/>
          <w:color w:val="666666"/>
          <w:sz w:val="18"/>
        </w:rPr>
        <w:t>Yu Y et al.  ·  PeerJ  ·  26.08.2026  ·  PMID 42670410</w:t>
      </w:r>
    </w:p>
    <w:p>
      <w:r>
        <w:t>Latente Profilanalyse bei 241 chinesischen Krebspflegekräften zur Heterogenität in Palliativkompetenz-Dimensionen.</w:t>
      </w:r>
    </w:p>
    <w:p>
      <w:r>
        <w:rPr>
          <w:b/>
        </w:rPr>
        <w:t xml:space="preserve">Ergebnis: </w:t>
      </w:r>
      <w:r>
        <w:t>Drei Profile: 27 % niedrige, 45 % mittlere, 28 % hohe Kompetenz. Hochkompetente zeigten 1,8-fach höheres ethisches Urteilsvermögen, 2,4-fach bessere klinische Praktiken, 2,0-fach bessere psychische Anpassung (alle p &lt; 0,001). Systematisches Palliativ-Training assoziiert mit hohem Profil (OR = 3,21, 95%-KI 1,30–7,94).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Trainingseffekt universell; Befund zur Notwendigkeit strukturierter Palliativausbildung auf alle Systeme übertragbar.</w:t>
      </w:r>
    </w:p>
    <w:p>
      <w:r>
        <w:rPr>
          <w:color w:val="5A7D3A"/>
          <w:sz w:val="18"/>
        </w:rPr>
        <w:t>https://pubmed.ncbi.nlm.nih.gov/42670410/</w:t>
      </w:r>
    </w:p>
    <w:p>
      <w:pPr>
        <w:pStyle w:val="Heading2"/>
      </w:pPr>
      <w:r>
        <w:t>Psychische Erkrankung im Heim und Zuhause: Vergleich von Verwaltungs- und Assessmentdaten</w:t>
      </w:r>
    </w:p>
    <w:p>
      <w:r>
        <w:rPr>
          <w:i/>
          <w:color w:val="666666"/>
          <w:sz w:val="18"/>
        </w:rPr>
        <w:t>Marrie RA et al.  ·  Int J Methods Psychiatr Res  ·  Sept. 2026  ·  PMID 42669965</w:t>
      </w:r>
    </w:p>
    <w:p>
      <w:r>
        <w:t>Vergleichende Analyse von Verwaltungsdaten und RAI-Diagnosen bei 493.895 Heimklienten und 357.117 Pflegeheim-Bewohnern in drei kanadischen Provinzen.</w:t>
      </w:r>
    </w:p>
    <w:p>
      <w:r>
        <w:rPr>
          <w:b/>
        </w:rPr>
        <w:t xml:space="preserve">Ergebnis: </w:t>
      </w:r>
      <w:r>
        <w:t>Depression am häufigsten (administrative Daten: 29–34 % Heim, 21–51 % Pflegeheim); Übereinstimmung zwischen Datenquellen moderat (Depression κ = 0,33–0,57). Jüngeres Alter, Demenz und mehr Arztbesuche waren mit Abweichungen assoziiert. Rabiates Problem: Unterschiedliche Prävalenzschätzungen je nach Datenquelle.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mit Vollversicherung, aber Messungenauigkeiten auch für Deutschland relevant bei Qualitätsberichterstattung und Indikatorenentwicklung.</w:t>
      </w:r>
    </w:p>
    <w:p>
      <w:r>
        <w:rPr>
          <w:color w:val="5A7D3A"/>
          <w:sz w:val="18"/>
        </w:rPr>
        <w:t>https://pubmed.ncbi.nlm.nih.gov/42669965/</w:t>
      </w:r>
    </w:p>
    <w:p>
      <w:pPr>
        <w:pStyle w:val="Heading2"/>
      </w:pPr>
      <w:r>
        <w:t>Schlafqualität von Patienten im Krankenhaus: Was Nachtwachen an Versorgung bewirken</w:t>
      </w:r>
    </w:p>
    <w:p>
      <w:r>
        <w:rPr>
          <w:i/>
          <w:color w:val="666666"/>
          <w:sz w:val="18"/>
        </w:rPr>
        <w:t>Bellon F et al.  ·  Worldviews Evid Based Nurs  ·  Aug. 2026  ·  PMID 42669835</w:t>
      </w:r>
    </w:p>
    <w:p>
      <w:r>
        <w:t>Multizentrisches Beobachtungsstudie in 12 spanischen Kliniken mit 383 Patienten zur Frage, wie nächtliche Pflegemaßnahmen die Schlafqualität beeinflussen.</w:t>
      </w:r>
    </w:p>
    <w:p>
      <w:r>
        <w:rPr>
          <w:b/>
        </w:rPr>
        <w:t xml:space="preserve">Ergebnis: </w:t>
      </w:r>
      <w:r>
        <w:t>71 % der Patienten hatten schlechten Schlaf bei Aufnahme, verschärft sich auf 85,9 % im Verlauf. Jeder Tag mit Interventionen korrelierte mit schlechterer Schlafqualität; Blutentnahme und Angstmanagement zeigten geschlechtsspezifische Effekte. Zimmergenossen und nächtliche Maßnahmen waren Hauptfaktoren.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Akutkliniken, vergleichbare Patientenversorgung, Befunde zur Schlafhygiene auf deutsche Kliniken übertragbar.</w:t>
      </w:r>
    </w:p>
    <w:p>
      <w:r>
        <w:rPr>
          <w:color w:val="5A7D3A"/>
          <w:sz w:val="18"/>
        </w:rPr>
        <w:t>https://pubmed.ncbi.nlm.nih.gov/42669835/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2026-09-01T06:00:00Z</dcterms:created>
  <dcterms:modified xsi:type="dcterms:W3CDTF">2026-09-01T06:00:00Z</dcterms:modified>
  <cp:category/>
</cp:coreProperties>
</file>