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11.10.2026  |  6 Studien  |  pflege.m-vf.de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Emotionale Belastung von Hebammen und Pflegefachpersonen nach Totgeburten: Strategien der Trauerbewältigung</w:t>
      </w:r>
    </w:p>
    <w:p>
      <w:r>
        <w:rPr>
          <w:i/>
          <w:color w:val="666666"/>
          <w:sz w:val="18"/>
        </w:rPr>
        <w:t>Liao Y et al.  ·  Nurs Open  ·  Okt. 2026  ·  PMID 42854101</w:t>
      </w:r>
    </w:p>
    <w:p>
      <w:r>
        <w:t>Qualitative Phänomenologische Studie mit 10 Hebammen und Geburtspflegefachpersonen über ihre Erfahrungen in der Betreuung von Familien nach Totgeburt und ihre Bewältigungsstrategien.</w:t>
      </w:r>
    </w:p>
    <w:p>
      <w:r>
        <w:rPr>
          <w:b/>
        </w:rPr>
        <w:t xml:space="preserve">Ergebnis: </w:t>
      </w:r>
      <w:r>
        <w:t>Drei Themen: Fachpersonen waren emotional stark belastet durch kulturelle Tabus um Tod; erfahrene Fachkräfte praktizierten ‚stille Begleitung', weniger erfahrene mieden direkte Kommunikation; durch Reflexion lernten sie, emotionale Unterstützung zu geben und eigenes Wohlbefinden zu bewahren. Jüngere Fachkräfte benötigen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Chinesisches Setting, Befunde zu Trauerkompetenz und beruflicher Resilience übertragbar</w:t>
      </w:r>
    </w:p>
    <w:p>
      <w:r>
        <w:rPr>
          <w:color w:val="5A7D3A"/>
          <w:sz w:val="18"/>
        </w:rPr>
        <w:t>https://pubmed.ncbi.nlm.nih.gov/42854101/</w:t>
      </w:r>
    </w:p>
    <w:p>
      <w:pPr>
        <w:pStyle w:val="Heading2"/>
      </w:pPr>
      <w:r>
        <w:t>Mitgefühlsmüdigkeit und Lebensqualität von Pflegefachpersonen in der Langzeitversorgung Ghana</w:t>
      </w:r>
    </w:p>
    <w:p>
      <w:r>
        <w:rPr>
          <w:i/>
          <w:color w:val="666666"/>
          <w:sz w:val="18"/>
        </w:rPr>
        <w:t>Poku CA et al.  ·  Nurs Open  ·  Okt. 2026  ·  PMID 42854082</w:t>
      </w:r>
    </w:p>
    <w:p>
      <w:r>
        <w:t>Querschnittsstudie mit 269 Pflegefachpersonen in chronischen Pflegeeinheiten zu Zusammenhang zwischen Compassion Satisfaction, Burnout und Lebensqualität.</w:t>
      </w:r>
    </w:p>
    <w:p>
      <w:r>
        <w:rPr>
          <w:b/>
        </w:rPr>
        <w:t xml:space="preserve">Ergebnis: </w:t>
      </w:r>
      <w:r>
        <w:t>Hohe Compassion Satisfaction (42,43), moderater Burnout, moderate Lebensqualität (2,73). Compassion Satisfaction beeinflusste Lebensqualität positiv (β = 0,140, p &lt; 0,001), emotionale Erschöpfung negativ (β = -0,045, p &lt; 0,0001). Burnout mediierte partiell (F = 20,01, p &lt; 0,001); Alter moderierte den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Befunde zu Well-being-Interventionen und Burnout-Mediation übertragbar</w:t>
      </w:r>
    </w:p>
    <w:p>
      <w:r>
        <w:rPr>
          <w:color w:val="5A7D3A"/>
          <w:sz w:val="18"/>
        </w:rPr>
        <w:t>https://pubmed.ncbi.nlm.nih.gov/42854082/</w:t>
      </w:r>
    </w:p>
    <w:p>
      <w:pPr>
        <w:pStyle w:val="Heading2"/>
      </w:pPr>
      <w:r>
        <w:t>Einhaltung von Schutzmaßnahmen auf Intensivstationen: Organisationale Unterstützung und Schulung</w:t>
      </w:r>
    </w:p>
    <w:p>
      <w:r>
        <w:rPr>
          <w:i/>
          <w:color w:val="666666"/>
          <w:sz w:val="18"/>
        </w:rPr>
        <w:t>Liu T et al.  ·  Nurs Open  ·  Okt. 2026  ·  PMID 42853967</w:t>
      </w:r>
    </w:p>
    <w:p>
      <w:r>
        <w:t>Querschnittstudie mit 378 Pflegefachpersonen aus fünf chinesischen Universitätskrankenhäusern zur Compliance mit Standard-Precautions und ihre Determinanten.</w:t>
      </w:r>
    </w:p>
    <w:p>
      <w:r>
        <w:rPr>
          <w:b/>
        </w:rPr>
        <w:t xml:space="preserve">Ergebnis: </w:t>
      </w:r>
      <w:r>
        <w:t>Gesamtcompliance 73,4 %. Compliance korrelierte positiv mit wahrgenommener organisationaler Unterstützung (r = 0,328, p &lt; 0,01). Geschlecht, Expositionsunfälle in den letzten 6 Monaten und organisationale Unterstützung waren unabhängig assoziiert. Strukturiertes Care-Bundle mit Training und psychologischer Unterstützung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Tertiärkliniken China, Befunde zur organisationalen Einflussfaktoren auf Infektionsprävention universal</w:t>
      </w:r>
    </w:p>
    <w:p>
      <w:r>
        <w:rPr>
          <w:color w:val="5A7D3A"/>
          <w:sz w:val="18"/>
        </w:rPr>
        <w:t>https://pubmed.ncbi.nlm.nih.gov/42853967/</w:t>
      </w:r>
    </w:p>
    <w:p>
      <w:pPr>
        <w:pStyle w:val="Heading2"/>
      </w:pPr>
      <w:r>
        <w:t>Prognose-gesteuerte Symptomkontrolle in der Palliativversorgung: Biomarker und Pflegekompetenz</w:t>
      </w:r>
    </w:p>
    <w:p>
      <w:r>
        <w:rPr>
          <w:i/>
          <w:color w:val="666666"/>
          <w:sz w:val="18"/>
        </w:rPr>
        <w:t>Ibrahim AM et al.  ·  Palliat Support Care  ·  09.10.2026  ·  PMID 42850936</w:t>
      </w:r>
    </w:p>
    <w:p>
      <w:r>
        <w:t>Systematische Übersicht zur Rolle von Pflegefachpersonen bei der Früherkennung klinischen Niedergangs durch Laborwerte und klinische Beurteilung in der Krebspalliativversorgung.</w:t>
      </w:r>
    </w:p>
    <w:p>
      <w:r>
        <w:rPr>
          <w:b/>
        </w:rPr>
        <w:t xml:space="preserve">Ergebnis: </w:t>
      </w:r>
      <w:r>
        <w:t>14 Studien belegen: Biomarker (CRP, Albumin, Elektrolyte) vorhersagen Symptomverschlechterung; pflegegeleitet integrierte Ansätze reduzierten Notfallbesuche und verbesserten Versorgungskontinuität. Prognose-orientierte Modelle sind vielversprechend, aber klinische Integration noch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englischsprachige Krebszentren, Übertragbarkeit auf multidisziplinäre Teams</w:t>
      </w:r>
    </w:p>
    <w:p>
      <w:r>
        <w:rPr>
          <w:color w:val="5A7D3A"/>
          <w:sz w:val="18"/>
        </w:rPr>
        <w:t>https://pubmed.ncbi.nlm.nih.gov/42850936/</w:t>
      </w:r>
    </w:p>
    <w:p>
      <w:pPr>
        <w:pStyle w:val="Heading2"/>
      </w:pPr>
      <w:r>
        <w:t>Patientenzufriedenheit mit Pflegeleistung im Krankenhaus: Validierung eines Messinstruments in Italien</w:t>
      </w:r>
    </w:p>
    <w:p>
      <w:r>
        <w:rPr>
          <w:i/>
          <w:color w:val="666666"/>
          <w:sz w:val="18"/>
        </w:rPr>
        <w:t>D'Accolti D et al.  ·  J Nurs Manag  ·  2026  ·  PMID 42850820</w:t>
      </w:r>
    </w:p>
    <w:p>
      <w:r>
        <w:t>Italienische Validierung des Patient Satisfaction with Nursing Care Quality Questionnaire in fünf Krankenhäusern an 698 Patienten zur Bewertung pflegerelevanter Versorgungsqualität.</w:t>
      </w:r>
    </w:p>
    <w:p>
      <w:r>
        <w:rPr>
          <w:b/>
        </w:rPr>
        <w:t xml:space="preserve">Ergebnis: </w:t>
      </w:r>
      <w:r>
        <w:t>Ein zwei-Faktor-Modell zeigte ausgezeichnete interne Konsistenz (ω = 0,95), mit positiven Korrelationen zu globalen Zufriedenheitsindikatoren (r = 0,45–0,88). Pflegeleistung wird in den Dimensionen Kernpflege und Entlassmanagement abgebildet; das Instrument unterstützt Qualitätsmessung in Krankenhäusern.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Südeuropäische Validierung in Universitas-Krankenhaus, vergleichbare Versorgungsstrukturen</w:t>
      </w:r>
    </w:p>
    <w:p>
      <w:r>
        <w:rPr>
          <w:color w:val="5A7D3A"/>
          <w:sz w:val="18"/>
        </w:rPr>
        <w:t>https://pubmed.ncbi.nlm.nih.gov/42850820/</w:t>
      </w:r>
    </w:p>
    <w:p>
      <w:pPr>
        <w:pStyle w:val="Heading2"/>
      </w:pPr>
      <w:r>
        <w:t>Haltungen von pflegenden Angehörigen zum Verzicht auf Arzneimittel im Pflegeheim: Südkorea</w:t>
      </w:r>
    </w:p>
    <w:p>
      <w:r>
        <w:rPr>
          <w:i/>
          <w:color w:val="666666"/>
          <w:sz w:val="18"/>
        </w:rPr>
        <w:t>Jung JH et al.  ·  BMC Geriatr  ·  01.10.2026  ·  PMID 42850595</w:t>
      </w:r>
    </w:p>
    <w:p>
      <w:r>
        <w:t>Querschnittsstudie mit 973 Familienangehörigen von Pflegeheimbewohnern zu ihren Einstellungen zum Deprescribing bei Polypharmazie.</w:t>
      </w:r>
    </w:p>
    <w:p>
      <w:r>
        <w:rPr>
          <w:b/>
        </w:rPr>
        <w:t xml:space="preserve">Ergebnis: </w:t>
      </w:r>
      <w:r>
        <w:t>Bewohner nahmen durchschnittlich 5,6 ± 3,5 Arzneimittel; 16,3 % erlebten unerwünschte Ereignisse. Nach Korrektur für mehrfaches Testen: Unerwünschte Ereignisse, Medikamentenkosten, Medikamentenzahl und Chronische-Erkrankungen-Zahl waren mit Sorgen um Deprescribing assoziiert; Angehörige-Soziodemografie spielte keine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Ostasiatisches Versicherungssystem, Befunde zu Medikamentensicherheit im Heim international relevant</w:t>
      </w:r>
    </w:p>
    <w:p>
      <w:r>
        <w:rPr>
          <w:color w:val="5A7D3A"/>
          <w:sz w:val="18"/>
        </w:rPr>
        <w:t>https://pubmed.ncbi.nlm.nih.gov/42850595/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