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16.10.2026  |  6 Studien  |  pflege.m-vf.de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Medikamentenselbstverwaltung bei Demenz: Co-Design-Intervention mit Angehörigen in England</w:t>
      </w:r>
    </w:p>
    <w:p>
      <w:r>
        <w:rPr>
          <w:i/>
          <w:color w:val="666666"/>
          <w:sz w:val="18"/>
        </w:rPr>
        <w:t>Powell C et al.  ·  Health Expect  ·  Okt. 2026  ·  PMID 42878217</w:t>
      </w:r>
    </w:p>
    <w:p>
      <w:r>
        <w:t>Qualitative Studie mit Experience-Based-Co-Design-Ansatz in Großbritannien zur Entwicklung einer psychosozialen Intervention (MAGNET) für die Medikamentenselbstverwaltung bei community-dweller mit leichter bis mittelschwerer Demenz und deren Angehörigen.</w:t>
      </w:r>
    </w:p>
    <w:p>
      <w:r>
        <w:rPr>
          <w:b/>
        </w:rPr>
        <w:t xml:space="preserve">Ergebnis: </w:t>
      </w:r>
      <w:r>
        <w:t>Co-designed-Intervention konzentriert sich auf fünf Prioritäten: Auswirkungen von Demenz auf Medikamentenorganisation; Medikamentenkenntnisse; verfügbare Hilfe; Personalisierung; Zukunftsplanung. Entwickelt: Leitfaden, Video, Erinnerungskarte für Person und Schulungs-/Implementierungsleitfaden für Fachkräfte mit Logik-Modell. Teilnehmer berichteten positive Erfahrungen: Rückgabe an Gemeinschaft, Lernen von und Unterstützung durch andere. Unmittelbare soziale Wirkung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System mit Pflegekassen-Aspekten</w:t>
      </w:r>
    </w:p>
    <w:p>
      <w:r>
        <w:rPr>
          <w:color w:val="5A7D3A"/>
          <w:sz w:val="18"/>
        </w:rPr>
        <w:t>https://pubmed.ncbi.nlm.nih.gov/42878217/</w:t>
      </w:r>
    </w:p>
    <w:p>
      <w:pPr>
        <w:pStyle w:val="Heading2"/>
      </w:pPr>
      <w:r>
        <w:t>Herausforderndes Verhalten und Schmerz in Heimen: Multidisziplinäre Methode mit Angehörigen wirksam</w:t>
      </w:r>
    </w:p>
    <w:p>
      <w:r>
        <w:rPr>
          <w:i/>
          <w:color w:val="666666"/>
          <w:sz w:val="18"/>
        </w:rPr>
        <w:t>Tasseron-Dries PEM et al.  ·  Int J Geriatr Psychiatry  ·  Okt. 2026  ·  PMID 42878126</w:t>
      </w:r>
    </w:p>
    <w:p>
      <w:r>
        <w:t>Niederländische Studie zur Wirkung der Methode STA OP! mit Familie auf schwieriges Verhalten und Schmerz bei demenzkranken Heimbewohnern in 10 Stationen mit 77 Bewohnern und ihren Angehörigen.</w:t>
      </w:r>
    </w:p>
    <w:p>
      <w:r>
        <w:rPr>
          <w:b/>
        </w:rPr>
        <w:t xml:space="preserve">Ergebnis: </w:t>
      </w:r>
      <w:r>
        <w:t>Schwieriges Verhalten sank signifikant nach 3 Monaten (standardisierter Koeffizient -0,2; 95%-KI -0,3 bis -0,04) und nach 6 Monaten (-0,2; 95%-KI -0,3 bis -0,03). Beobachtete Schmerzen zeigten Reduktion nach 6 Monaten (-0,2; 95%-KI -0,3 bis -0,004). Emotionale Belastung des Pflegepersonals sank signifikant (3 Monate: -0,3; 95%-KI -0,4 bis -0,1). Keine Veränderungen in Lebensqualität, Medikamentengebrauch oder Angehörigenerfahrungen.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Pflegeheim-System und Versicherungsmodell</w:t>
      </w:r>
    </w:p>
    <w:p>
      <w:r>
        <w:rPr>
          <w:color w:val="5A7D3A"/>
          <w:sz w:val="18"/>
        </w:rPr>
        <w:t>https://pubmed.ncbi.nlm.nih.gov/42878126/</w:t>
      </w:r>
    </w:p>
    <w:p>
      <w:pPr>
        <w:pStyle w:val="Heading2"/>
      </w:pPr>
      <w:r>
        <w:t>Frühzeichen für Verschlechterung bei demenzkranken Heimbewohnern: Prognosemodell mit IPOS-Dem</w:t>
      </w:r>
    </w:p>
    <w:p>
      <w:r>
        <w:rPr>
          <w:i/>
          <w:color w:val="666666"/>
          <w:sz w:val="18"/>
        </w:rPr>
        <w:t>Serban S et al.  ·  Front Public Health  ·  30.09.2026  ·  PMID 42877224</w:t>
      </w:r>
    </w:p>
    <w:p>
      <w:r>
        <w:t>Sekundäranalyse longitudinaler Daten aus einer Schweizer randomisierten kontrollierten Studie (stepped wedge) mit 222 Heimbewohnern mit Demenz zur Vorhersage rezidivierender Verschlechterung mittels monatlichen IPOS-Dem-Messungen.</w:t>
      </w:r>
    </w:p>
    <w:p>
      <w:r>
        <w:rPr>
          <w:b/>
        </w:rPr>
        <w:t xml:space="preserve">Ergebnis: </w:t>
      </w:r>
      <w:r>
        <w:t>Von 2.107 Vorhersageepisoden verschlechterten sich 535 (25,4%), 72 von 222 Bewohnern (32,4%) zeigten rezidivierende Verschlechterung. Höhere mittlere DEBI (Emotional/Behavioral Impact) erhöhte Rezidivrisiko (OR 2,655; 95%-KI 1,382–5,101; p=0,003), ebenso höheres Alter (OR 1,055 pro Jahr; 95%-KI 1,006–1,107; p=0,027). Modellperformance: AUC 0,754; Brier 0,179. Serielle IPOS-Dem-Monitoring bot verwertbare Indikatoren für Level und Trajektorie.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Pflegeheim-Versicherungssystem</w:t>
      </w:r>
    </w:p>
    <w:p>
      <w:r>
        <w:rPr>
          <w:color w:val="5A7D3A"/>
          <w:sz w:val="18"/>
        </w:rPr>
        <w:t>https://pubmed.ncbi.nlm.nih.gov/42877224/</w:t>
      </w:r>
    </w:p>
    <w:p>
      <w:pPr>
        <w:pStyle w:val="Heading2"/>
      </w:pPr>
      <w:r>
        <w:t>Psychische Gesundheit und ländliche Versorgung: Wissenslücken bei Haushaltsschwestern in Polen</w:t>
      </w:r>
    </w:p>
    <w:p>
      <w:r>
        <w:rPr>
          <w:i/>
          <w:color w:val="666666"/>
          <w:sz w:val="18"/>
        </w:rPr>
        <w:t>Pietrzak M et al.  ·  Front Public Health  ·  30.09.2026  ·  PMID 42876669</w:t>
      </w:r>
    </w:p>
    <w:p>
      <w:r>
        <w:t>Querschnittstudie mit 207 Haushaltsschwestern in Polen (Feb–Mai 2026) zu Level und Determinanten psychischer Gesundheitskompetenz (mental health literacy) mittels Mental Health Literacy Scale.</w:t>
      </w:r>
    </w:p>
    <w:p>
      <w:r>
        <w:rPr>
          <w:b/>
        </w:rPr>
        <w:t xml:space="preserve">Ergebnis: </w:t>
      </w:r>
      <w:r>
        <w:t>Mediane normalisierte Gesamtpunkte: 70,43%. Niedrigste Scores: Wissen über Risikofaktoren und Ursachen sowie Wissen über professionelle Hilfe (je 66,67%). Höchste: Erkennung von Störungen und Wissen, wie man mentale Gesundheitsinformation sucht (je 75%). Unabhängig assoziiert mit höheren Scores: jüngeres Alter, Wohnort in der Stadt, Familie/Bekannte mit psychischer Störung, beruflicher Kontakt zu Menschen mit Störungen. Negative Assoziation mit Alter und Dienstdauer bei erfahrenen Schwestern.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europäisches Haushalts-Setting, ähnliche Primärversorgungsstruktur</w:t>
      </w:r>
    </w:p>
    <w:p>
      <w:r>
        <w:rPr>
          <w:color w:val="5A7D3A"/>
          <w:sz w:val="18"/>
        </w:rPr>
        <w:t>https://pubmed.ncbi.nlm.nih.gov/42876669/</w:t>
      </w:r>
    </w:p>
    <w:p>
      <w:pPr>
        <w:pStyle w:val="Heading2"/>
      </w:pPr>
      <w:r>
        <w:t>Psychosoziale Arbeitsbedingungen und Gesundheit: Schwestern berichten mehr Wohlbefinden als Ärzte</w:t>
      </w:r>
    </w:p>
    <w:p>
      <w:r>
        <w:rPr>
          <w:i/>
          <w:color w:val="666666"/>
          <w:sz w:val="18"/>
        </w:rPr>
        <w:t>Andruškienė J et al.  ·  Front Public Health  ·  30.09.2026  ·  PMID 42876522</w:t>
      </w:r>
    </w:p>
    <w:p>
      <w:r>
        <w:t>Litauische Querschnittstudie in einem tertiären Krankenhaus 2025 mit 497 Antworten (56% von 900) zu Zusammenhang psychosozialer Arbeitsbelastung mit salutogenem Wohlbefinden bei Schwestern (n=271) und Ärzten (n=226).</w:t>
      </w:r>
    </w:p>
    <w:p>
      <w:r>
        <w:rPr>
          <w:b/>
        </w:rPr>
        <w:t xml:space="preserve">Ergebnis: </w:t>
      </w:r>
      <w:r>
        <w:t>Schwestern berichteten signifikant höhere Werte als Ärzte: unterstützende Arbeitsbedingungen (77,6±17,7 vs. 69,7±20,0; p&lt;0,05), interne Arbeitserfahrung (81,1±14,4 vs. 77,8±15,2), Zeiterfahrung (76,1±20,9 vs. 59,6±23,6) und Wohlbefinden (SHIS: 74,1±19,2 vs. 62,7±17,2). Bei Schwestern assoziiert mit Wohlbefinden: interne Arbeitserfahrung (β=0,13; p=0,020), Zeiterfahrung (β=0,24; p&lt;0,001), Veränderungsprozess (β=0,43; p&lt;0,001). Modellgüte R²=0,512.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Litauen, europäische Arbeitsbedingungen im Krankenhaus, ähnliche Qualifikation</w:t>
      </w:r>
    </w:p>
    <w:p>
      <w:r>
        <w:rPr>
          <w:color w:val="5A7D3A"/>
          <w:sz w:val="18"/>
        </w:rPr>
        <w:t>https://pubmed.ncbi.nlm.nih.gov/42876522/</w:t>
      </w:r>
    </w:p>
    <w:p>
      <w:pPr>
        <w:pStyle w:val="Heading2"/>
      </w:pPr>
      <w:r>
        <w:t>Komplexe Multimorbidität in der Hausbetreuung: Was Gemeindeschwestern können und worum sie ringen</w:t>
      </w:r>
    </w:p>
    <w:p>
      <w:r>
        <w:rPr>
          <w:i/>
          <w:color w:val="666666"/>
          <w:sz w:val="18"/>
        </w:rPr>
        <w:t>Lagerin A et al.  ·  BMC Prim Care  ·  09.10.2026  ·  PMID 42875741</w:t>
      </w:r>
    </w:p>
    <w:p>
      <w:r>
        <w:t>Qualitative Studie mit 15 Gemeindeschwestern in fünf Primärversorgungszentren Stockholms zu ihren Erfahrungen in der Versorgung älterer Menschen mit multipler Chronizität und psychischen Erkrankungen.</w:t>
      </w:r>
    </w:p>
    <w:p>
      <w:r>
        <w:rPr>
          <w:b/>
        </w:rPr>
        <w:t xml:space="preserve">Ergebnis: </w:t>
      </w:r>
      <w:r>
        <w:t>Zentrale Erkenntnisse: Schwestern fühlen sich kompetent, komplexe Patienten als ganzheitliche Person zu sehen, und sind bereit, Verantwortung zu übernehmen – jedoch nur, wenn Zeit, Unterstützung und strukturelle Voraussetzungen gegeben sind. Vier Subthemen: Komplexität als kohärente Person verstehen; Kompetenz für Patientenbedürfnisse; Primärversorgung sagt nicht nein, findet aber Lösungslücken; DN-Kompetenzen müssen sichtbar, definiert und begrenzt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 Primärversorgungsstruktur und Versicherungssystem</w:t>
      </w:r>
    </w:p>
    <w:p>
      <w:r>
        <w:rPr>
          <w:color w:val="5A7D3A"/>
          <w:sz w:val="18"/>
        </w:rPr>
        <w:t>https://pubmed.ncbi.nlm.nih.gov/42875741/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