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10.09.2026  |  6 Studien  |  pflege.m-vf.de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Multiprofessionelle Primärversorgung: Fachkräfte in der Hausarztpraxis und Ergebnis für Patienten</w:t>
      </w:r>
    </w:p>
    <w:p>
      <w:r>
        <w:rPr>
          <w:i/>
          <w:color w:val="666666"/>
          <w:sz w:val="18"/>
        </w:rPr>
        <w:t>Naß P et al.  ·  PLoS One  ·  09.09.2026  ·  PMID 42715196</w:t>
      </w:r>
    </w:p>
    <w:p>
      <w:r>
        <w:t>Studie zur Wirkung von speziell geschulten Pflegefachkräften in Hausarztpraxen als Teil eines Modells zur Versorgung chronisch kranker Patienten – in 20 Praxen mit Vergleichsgruppe aus Routinedaten.</w:t>
      </w:r>
    </w:p>
    <w:p>
      <w:r>
        <w:rPr>
          <w:b/>
        </w:rPr>
        <w:t xml:space="preserve">Ergebnis: </w:t>
      </w:r>
      <w:r>
        <w:t>Primärer Endpunkt: Notfallvorfälle nach 12 Monaten (Ergebnisse ausstehend); sekundäre Endpunkte sind Krankenhauseinweisungen, Mortalität, Kontinuität und Koordination der Versorgung. Das Studiendesign ist in Deutschland übertragbar, Ergebnisse noch nicht publiziert.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multiprofessionelle Primärversorgung mit erweiterten Pflegeaufgaben</w:t>
      </w:r>
    </w:p>
    <w:p>
      <w:r>
        <w:rPr>
          <w:color w:val="5A7D3A"/>
          <w:sz w:val="18"/>
        </w:rPr>
        <w:t>https://pubmed.ncbi.nlm.nih.gov/42715196/</w:t>
      </w:r>
    </w:p>
    <w:p>
      <w:pPr>
        <w:pStyle w:val="Heading2"/>
      </w:pPr>
      <w:r>
        <w:t>Vorausplanung und Krankenhauseinweisung von Altenheimbewohnern am Lebensende</w:t>
      </w:r>
    </w:p>
    <w:p>
      <w:r>
        <w:rPr>
          <w:i/>
          <w:color w:val="666666"/>
          <w:sz w:val="18"/>
        </w:rPr>
        <w:t>Gillan PC et al.  ·  J Hosp Palliat Nurs  ·  01.10.2026  ·  PMID 42714187</w:t>
      </w:r>
    </w:p>
    <w:p>
      <w:r>
        <w:t>Scoping Review über 23 Studien (2004–2024) zur Rolle der Advance-Care-Planning-Dokumente bei Verlegungsentscheidungen von Altenheimbewohnern in ihre letzten Lebenswochen.</w:t>
      </w:r>
    </w:p>
    <w:p>
      <w:r>
        <w:rPr>
          <w:b/>
        </w:rPr>
        <w:t xml:space="preserve">Ergebnis: </w:t>
      </w:r>
      <w:r>
        <w:t>Advance-Care-Pläne mit Anweisungen zur Reanimationsvermeidung oder Nichthospitalisierung führten zu weniger Krankenhauseinweisungen als ohne solche Anweisungen. Problematisch: Berichte über Verlegungen gegen den dokumentierten Willen der Bewohner. Faktoren für Verlegung: Alter, Akuität, Vulnerabilität, familiäre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9 Länder, vergleichbare Langzeitpflege und Palliativversorgung</w:t>
      </w:r>
    </w:p>
    <w:p>
      <w:r>
        <w:rPr>
          <w:color w:val="5A7D3A"/>
          <w:sz w:val="18"/>
        </w:rPr>
        <w:t>https://pubmed.ncbi.nlm.nih.gov/42714187/</w:t>
      </w:r>
    </w:p>
    <w:p>
      <w:pPr>
        <w:pStyle w:val="Heading2"/>
      </w:pPr>
      <w:r>
        <w:t>Pflegegeleitet angepasste Osteoporose-Nachsorge nach Hüftfraktur reduziert Erneut-Frakturen</w:t>
      </w:r>
    </w:p>
    <w:p>
      <w:r>
        <w:rPr>
          <w:i/>
          <w:color w:val="666666"/>
          <w:sz w:val="18"/>
        </w:rPr>
        <w:t>Jiang Y et al.  ·  J Vis Exp  ·  08.09.2026  ·  PMID 42714079</w:t>
      </w:r>
    </w:p>
    <w:p>
      <w:r>
        <w:t>Einzelzentrum-Studie zur Wirkung eines pfleggeleiteten Pathways mit Magenschonungs-Anpassung der Therapie, strukturierter Patientenedukation und standardisiertem Follow-up über 24 Monate (n=147: 73 Intervention, 74 Kontrolle).</w:t>
      </w:r>
    </w:p>
    <w:p>
      <w:r>
        <w:rPr>
          <w:b/>
        </w:rPr>
        <w:t xml:space="preserve">Ergebnis: </w:t>
      </w:r>
      <w:r>
        <w:t>Pflegepathway-Gruppe: höhere Therapieadhärenz (PDC ≥0,80 durchgehend höher über 24 Monate), bessere Knochenmineraldichte-Verbesserungen (Lendenwirbelsäule und Hüfte), niedrigere Raten chronischer postoperativer Schmerzen (16,67 % vs. 63,49 %, p&lt;0,001). Nachfolge-Frakturen numerisch günstiger, aber wegen niedriger Ereigniszahl und fehlender Randomisierung mit Vorsicht interpretieren.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Konzept der pfleggeleiteten Versorgungsoptimierung übertragbar</w:t>
      </w:r>
    </w:p>
    <w:p>
      <w:r>
        <w:rPr>
          <w:color w:val="5A7D3A"/>
          <w:sz w:val="18"/>
        </w:rPr>
        <w:t>https://pubmed.ncbi.nlm.nih.gov/42714079/</w:t>
      </w:r>
    </w:p>
    <w:p>
      <w:pPr>
        <w:pStyle w:val="Heading2"/>
      </w:pPr>
      <w:r>
        <w:t>Intelligente Überwachung in der postoperativen Reha nach Wirbelsäulenfusion: bessere Mobilität und weniger Chronischmerz</w:t>
      </w:r>
    </w:p>
    <w:p>
      <w:r>
        <w:rPr>
          <w:i/>
          <w:color w:val="666666"/>
          <w:sz w:val="18"/>
        </w:rPr>
        <w:t>Ruan Z et al.  ·  J Vis Exp  ·  08.09.2026  ·  PMID 42714051</w:t>
      </w:r>
    </w:p>
    <w:p>
      <w:r>
        <w:t>Retrospektive Kohortenstudie mit Smart-Nursing-Modell für postoperative Rehabilitation älterer Patienten nach lumbaler Fusion (n=117: 54 Smart-Nursing, 63 Kontrolle) über 12 Monate.</w:t>
      </w:r>
    </w:p>
    <w:p>
      <w:r>
        <w:rPr>
          <w:b/>
        </w:rPr>
        <w:t xml:space="preserve">Ergebnis: </w:t>
      </w:r>
      <w:r>
        <w:t>Smart-Nursing-Gruppe: größere Reduktion aktivitätsbezogener Schmerzen über 12 Monate (Interaktionseffekt -1,10 Punkte; 95%-KI -1,50 bis -0,69; p&lt;0,001), ruheBezogene Schmerzen tiefer (1,87 vs. 2,87), höhere Muskelquerschnittsfläche, höheres isometrisches Drehmoment, Chronischmerz-Inzidenz deutlich niedriger (16,67 % vs. 63,49 %,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digitale Überwachung und individualisierte Rehabilitation technisch übertragbar</w:t>
      </w:r>
    </w:p>
    <w:p>
      <w:r>
        <w:rPr>
          <w:color w:val="5A7D3A"/>
          <w:sz w:val="18"/>
        </w:rPr>
        <w:t>https://pubmed.ncbi.nlm.nih.gov/42714051/</w:t>
      </w:r>
    </w:p>
    <w:p>
      <w:pPr>
        <w:pStyle w:val="Heading2"/>
      </w:pPr>
      <w:r>
        <w:t>Demenz-Schulung für Hospiz-Angehörige und Kliniker verbessert Umsetzbarkeit und Akzeptanz</w:t>
      </w:r>
    </w:p>
    <w:p>
      <w:r>
        <w:rPr>
          <w:i/>
          <w:color w:val="666666"/>
          <w:sz w:val="18"/>
        </w:rPr>
        <w:t>Llaneza DH et al.  ·  Palliat Support Care  ·  09.09.2026  ·  PMID 42713768</w:t>
      </w:r>
    </w:p>
    <w:p>
      <w:r>
        <w:t>Pilot-RCT einer demenz-fokussierten End-of-Life-Intervention für pflegende Angehörige (n=37) und Kliniker (n=15) in Heim-Hospiz mit strukturiertem Arbeitsblatt und Schulungsvideos.</w:t>
      </w:r>
    </w:p>
    <w:p>
      <w:r>
        <w:rPr>
          <w:b/>
        </w:rPr>
        <w:t xml:space="preserve">Ergebnis: </w:t>
      </w:r>
      <w:r>
        <w:t>28 Angehörige (75 %) absolvierten Nach-Befragung, 10 (27 %) nutzten Arbeitsblatt. 13 Kliniker (87 %) absolviert Schulung, 8 (53 %) Nach-Befragung, 8 (100 %) nutzten Arbeitsblatt. Beide Gruppen bewerteten Arbeitsblatt als hilfreich und leicht anwendbar; Kliniker gaben höhere Hilfreichkeits-Bewertung (3,88 vs. 3,70). Größte Zustimmung für strukturierte Anleitung und verbesserte Zusammenarbeit.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konzeptionell auf deutsches Hospiz-System übertragbar</w:t>
      </w:r>
    </w:p>
    <w:p>
      <w:r>
        <w:rPr>
          <w:color w:val="5A7D3A"/>
          <w:sz w:val="18"/>
        </w:rPr>
        <w:t>https://pubmed.ncbi.nlm.nih.gov/42713768/</w:t>
      </w:r>
    </w:p>
    <w:p>
      <w:pPr>
        <w:pStyle w:val="Heading2"/>
      </w:pPr>
      <w:r>
        <w:t>Wissen und Haltung von OP-Pflegekräften zur Dekubitusprophylaxe im Operationssaal</w:t>
      </w:r>
    </w:p>
    <w:p>
      <w:r>
        <w:rPr>
          <w:i/>
          <w:color w:val="666666"/>
          <w:sz w:val="18"/>
        </w:rPr>
        <w:t>Falk-Brynhildsen K et al.  ·  Nurs Open  ·  Sept. 2026  ·  PMID 42708279</w:t>
      </w:r>
    </w:p>
    <w:p>
      <w:r>
        <w:t>Nationale Befragung schwedischer OP-Pflegekräfte (n=284) zu Wissensstand und Einstellung zur Verhütung intraoperativer Druckgeschwüre.</w:t>
      </w:r>
    </w:p>
    <w:p>
      <w:r>
        <w:rPr>
          <w:b/>
        </w:rPr>
        <w:t xml:space="preserve">Ergebnis: </w:t>
      </w:r>
      <w:r>
        <w:t>Pflegekräfte zeigen solides Wissen zur Dekubitus-Ätiologie, aber deutlich schwächeres Wissen zu Präventionsmaßnahmen, besonders zur intraoperativen Positionierung. Positive Haltung zur Prävention, aber 58 % signalisieren Bedarf für weitere Schulung. Ergebnis: Strukturierte Fortbildung und klare Rollenverteilung in OP-Teams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Gesundheitssysteme, OP-Praxis übertragbar</w:t>
      </w:r>
    </w:p>
    <w:p>
      <w:r>
        <w:rPr>
          <w:color w:val="5A7D3A"/>
          <w:sz w:val="18"/>
        </w:rPr>
        <w:t>https://pubmed.ncbi.nlm.nih.gov/42708279/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