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03.09.2026  |  6 Studien  |  pflege.m-vf.de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Transitionsbereitschaft bei Jugendlichen mit Osteosarkom: Spiele-gestützte Pflegeleitung</w:t>
      </w:r>
    </w:p>
    <w:p>
      <w:r>
        <w:rPr>
          <w:i/>
          <w:color w:val="666666"/>
          <w:sz w:val="18"/>
        </w:rPr>
        <w:t>Ma J et al.  ·  Psychooncology  ·  Sept. 2026  ·  PMID 42684068</w:t>
      </w:r>
    </w:p>
    <w:p>
      <w:r>
        <w:t>Cluster-nicht-randomisierte Kontrolstudie (Intervention: n=32; Kontrolle: n=27 Jugendliche) mit dem Nurse-Navigated Game-Based Intervention (N2-GBI)-Programm neben Standardversorgung vs. Standardversorgung allein.</w:t>
      </w:r>
    </w:p>
    <w:p>
      <w:r>
        <w:rPr>
          <w:b/>
        </w:rPr>
        <w:t xml:space="preserve">Ergebnis: </w:t>
      </w:r>
      <w:r>
        <w:t>Transitionsbereitschaft (SMART-RxT): T1 signifikant höher in Intervention (β = 8,83, p &lt; 0,001), T2 (β = 7,97, p = 0,001). Krebssorge signifikant gesenkt (p = 0,009), Patientenaktivierung erhöht (p = 0,001), Transitionserwartung nicht signifikant (p = 0,056). Effekt: Kleine bis mittlere Effektstärken, klinisch bedeutsam.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(Universitätskliniken), Transitionsversorgung unabhängig von Gesundheitssystem</w:t>
      </w:r>
    </w:p>
    <w:p>
      <w:r>
        <w:rPr>
          <w:color w:val="5A7D3A"/>
          <w:sz w:val="18"/>
        </w:rPr>
        <w:t>https://pubmed.ncbi.nlm.nih.gov/42684068/</w:t>
      </w:r>
    </w:p>
    <w:p>
      <w:pPr>
        <w:pStyle w:val="Heading2"/>
      </w:pPr>
      <w:r>
        <w:t>Influenza-Impfquoten Gesundheitspersonal: Barrieren und Enabler Deutschland–China</w:t>
      </w:r>
    </w:p>
    <w:p>
      <w:r>
        <w:rPr>
          <w:i/>
          <w:color w:val="666666"/>
          <w:sz w:val="18"/>
        </w:rPr>
        <w:t>Sanftenberg L et al.  ·  BMC Public Health  ·  01.09.2026  ·  PMID 42681616</w:t>
      </w:r>
    </w:p>
    <w:p>
      <w:r>
        <w:t>Zwei Querschnittsbefragungen 2024/2025 in Deutschland (n=8.351 aus 72 Kliniken) und China (n=689 aus 9 Kliniken) zu psychologischen und kontextuellen Determinanten der Impfbereitschaft bei Ärztinnen und Pflegenden.</w:t>
      </w:r>
    </w:p>
    <w:p>
      <w:r>
        <w:rPr>
          <w:b/>
        </w:rPr>
        <w:t xml:space="preserve">Ergebnis: </w:t>
      </w:r>
      <w:r>
        <w:t>Impfquoten: 80,9% deutsche Ärztinnen vs. 28,8% chinesische; 48,7% deutsche Pflegende vs. 32,2% chinesische. Hauptdeterminanten: Vertrauen (DE: 3,9; CN: 4,4), Verantwortung (DE: 3,8; CN: 4,5). Deutsche Ablehnung auf individuelle Aspekte, Chinesinnen auf Organisationsfaktoren zurückgeführt. Effektive Interventionen: kostenlose Impfung, Bildung, 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anwendbare Abläufe und Personaltypen, CFIR-Framework</w:t>
      </w:r>
    </w:p>
    <w:p>
      <w:r>
        <w:rPr>
          <w:color w:val="5A7D3A"/>
          <w:sz w:val="18"/>
        </w:rPr>
        <w:t>https://pubmed.ncbi.nlm.nih.gov/42681616/</w:t>
      </w:r>
    </w:p>
    <w:p>
      <w:pPr>
        <w:pStyle w:val="Heading2"/>
      </w:pPr>
      <w:r>
        <w:t>Wellbeing-Messung bei Pflegenden: Konsensualisierte Ergebnis-Kernmenge</w:t>
      </w:r>
    </w:p>
    <w:p>
      <w:r>
        <w:rPr>
          <w:i/>
          <w:color w:val="666666"/>
          <w:sz w:val="18"/>
        </w:rPr>
        <w:t>Klepacz N et al.  ·  J Nurs Manag  ·  2026  ·  PMID 42675661</w:t>
      </w:r>
    </w:p>
    <w:p>
      <w:r>
        <w:t>Eine Delphi-Studie mit zwei Befragungsrunden entwickelte einen Konsens über Outcomes zur Erfassung des Pflegenden-Wohlbefindens; 54 Experten (Runde 1) und 45 (beide Runden) bewerteten 43 voridentifizierte Outcomes.</w:t>
      </w:r>
    </w:p>
    <w:p>
      <w:r>
        <w:rPr>
          <w:b/>
        </w:rPr>
        <w:t xml:space="preserve">Ergebnis: </w:t>
      </w:r>
      <w:r>
        <w:t>13 Outcomes erfüllten das Konsenskriterium (≥ 75% Zustimmung): allgemeines Wohlbefinden, Gesundheit, Schlaf, positive Beziehungen, Sicherheit, psychologische Bedürfniserfüllung, psychologische Sicherheit, Arbeitszufriedenheit, Moral, Work-Life-Balance, Compassion Satisfaction, Patientenzufriedenheit, gute Pflegepraxis.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UK-NHS-Kontext, Konsensus international übertragbar, weitere Instrument-Evaluation notwendig</w:t>
      </w:r>
    </w:p>
    <w:p>
      <w:r>
        <w:rPr>
          <w:color w:val="5A7D3A"/>
          <w:sz w:val="18"/>
        </w:rPr>
        <w:t>https://pubmed.ncbi.nlm.nih.gov/42675661/</w:t>
      </w:r>
    </w:p>
    <w:p>
      <w:pPr>
        <w:pStyle w:val="Heading2"/>
      </w:pPr>
      <w:r>
        <w:t>Pflegeleitung bei Morbus Crohn und Colitis ulcerosa: Selbstmanagement-Intervention mit 12-Monats-Effekt</w:t>
      </w:r>
    </w:p>
    <w:p>
      <w:r>
        <w:rPr>
          <w:i/>
          <w:color w:val="666666"/>
          <w:sz w:val="18"/>
        </w:rPr>
        <w:t>Rivera-Sequeiros A et al.  ·  Minerva Gastroenterol (Torino)  ·  Sept. 2026  ·  PMID 42670814</w:t>
      </w:r>
    </w:p>
    <w:p>
      <w:r>
        <w:t>Eine Single-Center-Studie untersuchte psychosoziale Effekte eines strukturierten, pflegegeleiten Selbstmanagement-Programmes bei 60 Patienten mit IBD in Remission über 12 Monate.</w:t>
      </w:r>
    </w:p>
    <w:p>
      <w:r>
        <w:rPr>
          <w:b/>
        </w:rPr>
        <w:t xml:space="preserve">Ergebnis: </w:t>
      </w:r>
      <w:r>
        <w:t>Health-Related Quality of Life (HRQoL) verbesserte sich signifikant über 12 Monate (β = 6,18, 95%-KI: 3,53–8,82, p &lt; 0,001). Depressive Symptome sanken nachhaltig (p = 0,036), wahrgenommener Stress zeigte abnehmenden Trend. Familiäre Funktionsfähigkeit moderierte Effekte auf Stress, Depression und Angst. Ergebnis war klinisch bedeutsam und nachhaltig.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ambulantes Versorgungssystem, IBD-spezifische Outcomes</w:t>
      </w:r>
    </w:p>
    <w:p>
      <w:r>
        <w:rPr>
          <w:color w:val="5A7D3A"/>
          <w:sz w:val="18"/>
        </w:rPr>
        <w:t>https://pubmed.ncbi.nlm.nih.gov/42670814/</w:t>
      </w:r>
    </w:p>
    <w:p>
      <w:pPr>
        <w:pStyle w:val="Heading2"/>
      </w:pPr>
      <w:r>
        <w:t>Strukturierte PROM-Visite: Symptombelas­tung und Lebensqualität bei Myeloproliferation</w:t>
      </w:r>
    </w:p>
    <w:p>
      <w:r>
        <w:rPr>
          <w:i/>
          <w:color w:val="666666"/>
          <w:sz w:val="18"/>
        </w:rPr>
        <w:t>Berardinelli D et al.  ·  Nurs Open  ·  Sept. 2026  ·  PMID 42669201</w:t>
      </w:r>
    </w:p>
    <w:p>
      <w:r>
        <w:t>Observative Querschnittsstudie mit 102 Patienten, die eine strukturierte, PROMs-gestützte Pflegefachvisite erhielten; Erfassung von Symptomen, psychologischem Distress und Lebensqualität.</w:t>
      </w:r>
    </w:p>
    <w:p>
      <w:r>
        <w:rPr>
          <w:b/>
        </w:rPr>
        <w:t xml:space="preserve">Ergebnis: </w:t>
      </w:r>
      <w:r>
        <w:t>85% symptomal (Fatigue 72%), 42% Angst, 44% Depressivität. Globale Gesundheit mittel (70,7 ± 21,3). Alle moderaten bis schweren Symptome (Fatigue, Inaktivität, Schmerz, Juckreiz, Bauchbeschwerden) stark mit eingeschränkter Globalgesundheit assoziiert (p &lt; 0,001). 43% Patienten benötigen Unterstützung für aktives Krankheitsmanagement. Besuchszufriedenheit sehr hoch (9,3 ± 1,3/10).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(Universitätsklinik), patientenberichtete Outcomes sind Pflegeverantwortung</w:t>
      </w:r>
    </w:p>
    <w:p>
      <w:r>
        <w:rPr>
          <w:color w:val="5A7D3A"/>
          <w:sz w:val="18"/>
        </w:rPr>
        <w:t>https://pubmed.ncbi.nlm.nih.gov/42669201/</w:t>
      </w:r>
    </w:p>
    <w:p>
      <w:pPr>
        <w:pStyle w:val="Heading2"/>
      </w:pPr>
      <w:r>
        <w:t>Sozial-assistive Roboter in der Altenflege: Erfahrungen und Dilemmata von Pflegenden</w:t>
      </w:r>
    </w:p>
    <w:p>
      <w:r>
        <w:rPr>
          <w:i/>
          <w:color w:val="666666"/>
          <w:sz w:val="18"/>
        </w:rPr>
        <w:t>Bubeck M et al.  ·  Arch Gerontol Geriatr  ·  28.07.2026  ·  PMID 42603460</w:t>
      </w:r>
    </w:p>
    <w:p>
      <w:r>
        <w:t>Qualitative Studie mit 12 semi-strukturierten Interviews von 14 Pflegekräften in deutschen Altenheimen zu praktischen und ethischen Erfahrungen mit Roboter-Implementierung.</w:t>
      </w:r>
    </w:p>
    <w:p>
      <w:r>
        <w:rPr>
          <w:b/>
        </w:rPr>
        <w:t xml:space="preserve">Ergebnis: </w:t>
      </w:r>
      <w:r>
        <w:t>Implementierung als vierphasiger dynamischer Prozess: (1) Orientierung, (2) Adopter &amp; Einführung, (3) Routineerhalt, (4) Neubewertung. Pflegende balancierten technologische Möglichkeiten, Organisationserwartungen und Bewohnerbedarf. Zentrale Befunde: Professionelles Urteil unterstützen, Kontextsensitivität fördern, phasengerechte Unterstützung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qualitative Erarbeitung lokaler Implementierungsbarrieren und -chancen</w:t>
      </w:r>
    </w:p>
    <w:p>
      <w:r>
        <w:rPr>
          <w:color w:val="5A7D3A"/>
          <w:sz w:val="18"/>
        </w:rPr>
        <w:t>https://pubmed.ncbi.nlm.nih.gov/42603460/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