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16.09.2026  |  6 Studien  |  pflege.m-vf.de</w:t>
      </w:r>
    </w:p>
    <w:p>
      <w:pPr>
        <w:pStyle w:val="Heading1"/>
      </w:pPr>
      <w:r>
        <w:t>Aufgenommen am 16.09.2026</w:t>
      </w:r>
    </w:p>
    <w:p>
      <w:pPr>
        <w:pStyle w:val="Heading2"/>
      </w:pPr>
      <w:r>
        <w:t>Kommunikation und Technologie aus Sicht von Kindern mit lebensverkürzenden Erkrankungen in der Palliativversorgung</w:t>
      </w:r>
    </w:p>
    <w:p>
      <w:r>
        <w:rPr>
          <w:i/>
          <w:color w:val="666666"/>
          <w:sz w:val="18"/>
        </w:rPr>
        <w:t>Martinsen LJ et al.  ·  BMJ Paediatr Open  ·  15.09.2026  ·  PMID 42744656</w:t>
      </w:r>
    </w:p>
    <w:p>
      <w:r>
        <w:t>Qualitative Studie mit 7 Kindern (8–15 Jahre) mit lebensverkürzenden oder lebensbedrohlichen Erkrankungen zu ihren Bedürfnissen in der Kommunikation mit Fachpersonen und zur Rolle von Technologie im Alltag.</w:t>
      </w:r>
    </w:p>
    <w:p>
      <w:r>
        <w:rPr>
          <w:b/>
        </w:rPr>
        <w:t xml:space="preserve">Ergebnis: </w:t>
      </w:r>
      <w:r>
        <w:t>Drei Kernthemen: (1) Kinder verstehen Technologie primär durch Alltag statt Gesundheitskontext, (2) Technologie könnte eine "digitale Brücke zur Normalität" bilden, (3) Kinder bevorzugen persönliche Treffen mit Gesundheitsfachpersonen für Sicherheit und klare Informationen; Lücken in Kinderpartizipation bei Entscheidungen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pädiatrische Palliativversorgung mit Fokus auf Home-based Care wie deutsches Modell</w:t>
      </w:r>
    </w:p>
    <w:p>
      <w:r>
        <w:rPr>
          <w:color w:val="5A7D3A"/>
          <w:sz w:val="18"/>
        </w:rPr>
        <w:t>https://pubmed.ncbi.nlm.nih.gov/42744656/</w:t>
      </w:r>
    </w:p>
    <w:p>
      <w:pPr>
        <w:pStyle w:val="Heading2"/>
      </w:pPr>
      <w:r>
        <w:t>Sichtweisen von Pflegehilfskräften auf Technologieeinführung in der Langzeitpflege</w:t>
      </w:r>
    </w:p>
    <w:p>
      <w:r>
        <w:rPr>
          <w:i/>
          <w:color w:val="666666"/>
          <w:sz w:val="18"/>
        </w:rPr>
        <w:t>Omotunde M et al.  ·  BMJ Open  ·  15.09.2026  ·  PMID 42744373</w:t>
      </w:r>
    </w:p>
    <w:p>
      <w:r>
        <w:t>Scoping Review (JBI-Methode) mit Analyse von 17 Quellen aus 5 Ländern (2004–2026) zu Perspektiven von Care Aides auf Technologieadoption und -nachhaltigkeit in Langzeiteinrichtungen.</w:t>
      </w:r>
    </w:p>
    <w:p>
      <w:r>
        <w:rPr>
          <w:b/>
        </w:rPr>
        <w:t xml:space="preserve">Ergebnis: </w:t>
      </w:r>
      <w:r>
        <w:t>Care Aides sind offen für Technologie, wenn diese Workflows unterstützt, Pflege verbessert, angemessenes Training und Support bereitgestellt werden und sie in Implementierung einbezogen sind; Training liefert Information über Chancen/Probleme, fördert klare Haltung und adressiert Misskonzeptionen; begrenzte verfügbare Evidenz unterstreicht modifizierbare Faktoren für Uptake.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 und übrige OECD, Arbeitsbedingungen und Qualifikationsmix strukturell vergleichbar mit Deutschland</w:t>
      </w:r>
    </w:p>
    <w:p>
      <w:r>
        <w:rPr>
          <w:color w:val="5A7D3A"/>
          <w:sz w:val="18"/>
        </w:rPr>
        <w:t>https://pubmed.ncbi.nlm.nih.gov/42744373/</w:t>
      </w:r>
    </w:p>
    <w:p>
      <w:pPr>
        <w:pStyle w:val="Heading2"/>
      </w:pPr>
      <w:r>
        <w:t>Alltag von Demenzerkrankten im Heim: Beobachtungsdaten zu Lebensqualität mittels KI-gestützte Textanalyse</w:t>
      </w:r>
    </w:p>
    <w:p>
      <w:r>
        <w:rPr>
          <w:i/>
          <w:color w:val="666666"/>
          <w:sz w:val="18"/>
        </w:rPr>
        <w:t>Steijger D et al.  ·  J Med Internet Res  ·  15.09.2026  ·  PMID 42743440</w:t>
      </w:r>
    </w:p>
    <w:p>
      <w:r>
        <w:t>Sekundäranalyse von 5.622 Beobachtungstexten aus 151 Demenzerkrankten in niederländischen Heimen, die mittels Large Language Model (LLM) auf Lebensqualitätsmuster analysiert wurden.</w:t>
      </w:r>
    </w:p>
    <w:p>
      <w:r>
        <w:rPr>
          <w:b/>
        </w:rPr>
        <w:t xml:space="preserve">Ergebnis: </w:t>
      </w:r>
      <w:r>
        <w:t>N-Gramm-Analyse zeigte überwiegend passive Aktivitäten ("sitzt am Tisch") in wenig variierenden Innenräumen; emotionales Wohlbefinden wurde oft positiv beschrieben ("lächelt und lacht"), negative Äußerungen traten seltener auf, trugen aber stärkere emotionale Intensität; LLM identifizierte 8 kohärente Themenclusters, davon mehrere Bereiche mit Bezug zu Lebensqualitätsdomänen.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Versicherungssystem vergleichbar, Beobachtungsdaten parallele zu deutschen Pflegedokumentationen</w:t>
      </w:r>
    </w:p>
    <w:p>
      <w:r>
        <w:rPr>
          <w:color w:val="5A7D3A"/>
          <w:sz w:val="18"/>
        </w:rPr>
        <w:t>https://pubmed.ncbi.nlm.nih.gov/42743440/</w:t>
      </w:r>
    </w:p>
    <w:p>
      <w:pPr>
        <w:pStyle w:val="Heading2"/>
      </w:pPr>
      <w:r>
        <w:t>Folgen des "second victim"-Phänomens auf Pflegekräfte und Ärzte nach Sicherheitsvorfällen</w:t>
      </w:r>
    </w:p>
    <w:p>
      <w:r>
        <w:rPr>
          <w:i/>
          <w:color w:val="666666"/>
          <w:sz w:val="18"/>
        </w:rPr>
        <w:t>Vianna Gonçalves da Costa ECDC et al.  ·  PLoS One  ·  15.09.2026  ·  PMID 42743379</w:t>
      </w:r>
    </w:p>
    <w:p>
      <w:r>
        <w:t>Scoping Review (JBI/PRISMA-ScR) mit systematischer Analyse von 37 Publikationen (2009–2024) aus 22 Ländern über Auswirkungen des "second victim"-Phänomens auf Gesundheitsfachpersonen nach Patientensicherheitsvorfällen.</w:t>
      </w:r>
    </w:p>
    <w:p>
      <w:r>
        <w:rPr>
          <w:b/>
        </w:rPr>
        <w:t xml:space="preserve">Ergebnis: </w:t>
      </w:r>
      <w:r>
        <w:t>39 Auswirkungen kartografiert in vier Dimensionen (physisch, mental, beruflich, sozial); berufliche Dimension zeigte höchste Anzahl; mentale Dimension identifizierte Suizidgedanken als Risiko für physische Integrität; überwiegend qualitative Studien (n=14); Krankenhauseinrichtungen am häufigsten (n=25); Pflegefachpersonen meist untersucht (n=27).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Evidenz, Phänomen in deutschem Pflegealltag dokumentiert, Arbeitsschutzaspekt universal</w:t>
      </w:r>
    </w:p>
    <w:p>
      <w:r>
        <w:rPr>
          <w:color w:val="5A7D3A"/>
          <w:sz w:val="18"/>
        </w:rPr>
        <w:t>https://pubmed.ncbi.nlm.nih.gov/42743379/</w:t>
      </w:r>
    </w:p>
    <w:p>
      <w:pPr>
        <w:pStyle w:val="Heading2"/>
      </w:pPr>
      <w:r>
        <w:t>Schichtarbeit und psychische Belastung bei Pflegekräften: Schichtmuster und Krankmeldungen</w:t>
      </w:r>
    </w:p>
    <w:p>
      <w:r>
        <w:rPr>
          <w:i/>
          <w:color w:val="666666"/>
          <w:sz w:val="18"/>
        </w:rPr>
        <w:t>Nilsson T et al.  ·  Eur J Public Health  ·  04.08.2026  ·  PMID 42742568</w:t>
      </w:r>
    </w:p>
    <w:p>
      <w:r>
        <w:t>Prospektive Kohortenstudie mit 25.120 Pflegekräften in Stockholm (2008–2019), die den Zusammenhang zwischen Schichtmuster und psychisch bedingten Krankmeldungen über 11 Jahre untersucht.</w:t>
      </w:r>
    </w:p>
    <w:p>
      <w:r>
        <w:rPr>
          <w:b/>
        </w:rPr>
        <w:t xml:space="preserve">Ergebnis: </w:t>
      </w:r>
      <w:r>
        <w:t>Pflegekräfte mit Nachtschichten zeigten ein geringeres Risiko für Krankmeldungen wegen psychischer Störungen (HR 0,80, 95% KI 0,72–0,89) im Vergleich zu Tagarbeitern; Häufigkeit von &gt;121 Nachtschichten pro Jahr war mit niedrigerem Risiko assoziiert (HR 0,77, 95% KI 0,65–0,90). Der Befund könnte einen Selektionseffekt gesunder Personen in Nachtschichten widerspiegeln.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 Registerdata, deutschsprachige Systeme haben vergleichbare Schichtstrukturen</w:t>
      </w:r>
    </w:p>
    <w:p>
      <w:r>
        <w:rPr>
          <w:color w:val="5A7D3A"/>
          <w:sz w:val="18"/>
        </w:rPr>
        <w:t>https://pubmed.ncbi.nlm.nih.gov/42742568/</w:t>
      </w:r>
    </w:p>
    <w:p>
      <w:pPr>
        <w:pStyle w:val="Heading2"/>
      </w:pPr>
      <w:r>
        <w:t>Langzeitergebnisse von Kindern nach Misshandlung: norwegische Kohortenstudie mit Registeranbindung</w:t>
      </w:r>
    </w:p>
    <w:p>
      <w:r>
        <w:rPr>
          <w:i/>
          <w:color w:val="666666"/>
          <w:sz w:val="18"/>
        </w:rPr>
        <w:t>Sivertsen B et al.  ·  BMJ Open  ·  01.09.2026  ·  PMID 42680496</w:t>
      </w:r>
    </w:p>
    <w:p>
      <w:r>
        <w:t>Prospektive Kohortenstudie (Triple-S) mit Rekrutierung von 733 pflegenden Angehörigen und 325 Jugendlichen (12–18 Jahre) mit substantiierter Misshandlung, Nachverfolgung alle 2 Jahre mit Registeranbindung (Stand Juni 2026).</w:t>
      </w:r>
    </w:p>
    <w:p>
      <w:r>
        <w:rPr>
          <w:b/>
        </w:rPr>
        <w:t xml:space="preserve">Ergebnis: </w:t>
      </w:r>
      <w:r>
        <w:t>Bisherige Analysen dokumentierten erhebliche psychische Belastungen und Schlafprobleme, beeinträchtigte Schulleistung, hohes Niveau von nicht-suizidaler Selbstverletzung; erhebliche Variation in Inanspruchnahme von Diensten und Koordination; emotionale, relationale und praktische Barrieren für Offenbarung identifiziert; pflegende Angehörige zeigen relationale Stärken und Schwierigkeiten beim Parenting sowie sozioökonomische Vulnerabilität.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deutsches Kinderschutzsystem struktuell vergleichbar, Registerforschung etabliert</w:t>
      </w:r>
    </w:p>
    <w:p>
      <w:r>
        <w:rPr>
          <w:color w:val="5A7D3A"/>
          <w:sz w:val="18"/>
        </w:rPr>
        <w:t>https://pubmed.ncbi.nlm.nih.gov/42680496/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2026-09-16T06:00:00Z</dcterms:created>
  <dcterms:modified xsi:type="dcterms:W3CDTF">2026-09-16T06:00:00Z</dcterms:modified>
  <cp:category/>
</cp:coreProperties>
</file>