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29.08.2026  |  6 Studien  |  pflege.m-vf.de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Pflegeworkload und optimale Personalausstattung: Zeit-Bewegungs-Studie mit Patientenklassifikation</w:t>
      </w:r>
    </w:p>
    <w:p>
      <w:r>
        <w:rPr>
          <w:i/>
          <w:color w:val="666666"/>
          <w:sz w:val="18"/>
        </w:rPr>
        <w:t>Biyik M et al.  ·  J Nurs Manag  ·  2026  ·  PMID 42661409</w:t>
      </w:r>
    </w:p>
    <w:p>
      <w:r>
        <w:t>Beobachtungsstudie mit Zeiterfassung bei 20 Pflegekräften in zwei türkischen Stationen zur objektiven Arbeitsbelastung.</w:t>
      </w:r>
    </w:p>
    <w:p>
      <w:r>
        <w:rPr>
          <w:b/>
        </w:rPr>
        <w:t xml:space="preserve">Ergebnis: </w:t>
      </w:r>
      <w:r>
        <w:t>Direkte Pflege 22,8–26,6% der Arbeitszeit, indirekte Pflege 31,1–32,9%, persönliche Aufgaben 34,6–42,3%. Direktpflegezeiten: 12,60/18,77/34,52 Min pro Patient (Lungenerkrankungen) bzw. 11,18/21,91/36,89 Min (Urologie) nach Klassifikation. Aktuelle Besetzung entspricht berechneten Optimalwert.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Zeit-Bewegungsmethodik auf deutsches System übertragbar</w:t>
      </w:r>
    </w:p>
    <w:p>
      <w:r>
        <w:rPr>
          <w:color w:val="5A7D3A"/>
          <w:sz w:val="18"/>
        </w:rPr>
        <w:t>https://pubmed.ncbi.nlm.nih.gov/42661409/</w:t>
      </w:r>
    </w:p>
    <w:p>
      <w:pPr>
        <w:pStyle w:val="Heading2"/>
      </w:pPr>
      <w:r>
        <w:t>Psychische Symptome bei Spinaler Muskelatrophie: Belastung von Patienten und Angehörigen</w:t>
      </w:r>
    </w:p>
    <w:p>
      <w:r>
        <w:rPr>
          <w:i/>
          <w:color w:val="666666"/>
          <w:sz w:val="18"/>
        </w:rPr>
        <w:t>Hussong J et al.  ·  Orphanet J Rare Dis  ·  26.08.2026  ·  PMID 42661209</w:t>
      </w:r>
    </w:p>
    <w:p>
      <w:r>
        <w:t>Deutsche Studie mit Patienten und pflegenden Angehörigen von SMA-Erkrankten, die psychische Symptomatik erfasst.</w:t>
      </w:r>
    </w:p>
    <w:p>
      <w:r>
        <w:rPr>
          <w:b/>
        </w:rPr>
        <w:t xml:space="preserve">Ergebnis: </w:t>
      </w:r>
      <w:r>
        <w:t>14,9% der Angehörigen zeigten psychische Symptome, besonders Personen, die SMA-Typ-1-Patienten betreuten. Symptomraten unterschieden sich nicht zwischen Motorikgruppen. Signifikante Korrelationen zwischen Angehörigen- und Patienten-Symptomen gefunden; psychotherapeutische Behandlung beeinflusste Symptomraten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nationale SMA-Registrierungsdaten</w:t>
      </w:r>
    </w:p>
    <w:p>
      <w:r>
        <w:rPr>
          <w:color w:val="5A7D3A"/>
          <w:sz w:val="18"/>
        </w:rPr>
        <w:t>https://pubmed.ncbi.nlm.nih.gov/42661209/</w:t>
      </w:r>
    </w:p>
    <w:p>
      <w:pPr>
        <w:pStyle w:val="Heading2"/>
      </w:pPr>
      <w:r>
        <w:t>Sinnvolle Partizipation von Angehörigen in psychiatrischer Versorgung: Was braucht es</w:t>
      </w:r>
    </w:p>
    <w:p>
      <w:r>
        <w:rPr>
          <w:i/>
          <w:color w:val="666666"/>
          <w:sz w:val="18"/>
        </w:rPr>
        <w:t>Dietrich N et al.  ·  BMC Psychiatry  ·  26.08.2026  ·  PMID 42661201</w:t>
      </w:r>
    </w:p>
    <w:p>
      <w:r>
        <w:t>Qualitative Studie mit 30 Angehörigen aus Deutschland zu ihren Erfahrungen und Erwartungen bei Beteiligung in der psychiatrischen Behandlung.</w:t>
      </w:r>
    </w:p>
    <w:p>
      <w:r>
        <w:rPr>
          <w:b/>
        </w:rPr>
        <w:t xml:space="preserve">Ergebnis: </w:t>
      </w:r>
      <w:r>
        <w:t>Angehörige forderten netzwerk-bewusste Klinikkultur, Anerkennung als Partner, unterschiedliche Partizipationsformen je nach Phase (Schock-, Ausdauer-, Übergangsphasen). Ohne strukturelle und kulturelle Integration bleiben Partizipationsmöglichkeiten fragmentarisch und belastend.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strukturelle Rahmenbedingungen ähnlich wie deutsches System</w:t>
      </w:r>
    </w:p>
    <w:p>
      <w:r>
        <w:rPr>
          <w:color w:val="5A7D3A"/>
          <w:sz w:val="18"/>
        </w:rPr>
        <w:t>https://pubmed.ncbi.nlm.nih.gov/42661201/</w:t>
      </w:r>
    </w:p>
    <w:p>
      <w:pPr>
        <w:pStyle w:val="Heading2"/>
      </w:pPr>
      <w:r>
        <w:t>Mitgefühlsmüdigkeit und Organisationsrisiken in pädiatrischer Onkologie: Strukturelle Defizite</w:t>
      </w:r>
    </w:p>
    <w:p>
      <w:r>
        <w:rPr>
          <w:i/>
          <w:color w:val="666666"/>
          <w:sz w:val="18"/>
        </w:rPr>
        <w:t>Galanti T et al.  ·  Int J Environ Res Public Health  ·  28.07.2026  ·  PMID 42652297</w:t>
      </w:r>
    </w:p>
    <w:p>
      <w:r>
        <w:t>Qualitative Studie mit 15 Pflegekräften in italienischen Onko-Hospizen zu beruflichen Belastungsfaktoren und Organisationsmängeln.</w:t>
      </w:r>
    </w:p>
    <w:p>
      <w:r>
        <w:rPr>
          <w:b/>
        </w:rPr>
        <w:t xml:space="preserve">Ergebnis: </w:t>
      </w:r>
      <w:r>
        <w:t>Berichtete Kündigungsabsicht korrelierte mit fehlender psychologischer Nachbetreuung, kumulativer emotionaler Belastung, insuffizienter Palliativschulung und quasi völliger Abwesenheit von organisationalem Vokabular für kollegiale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 europäische Pflegekontexte mit ähnlichen Stressoren</w:t>
      </w:r>
    </w:p>
    <w:p>
      <w:r>
        <w:rPr>
          <w:color w:val="5A7D3A"/>
          <w:sz w:val="18"/>
        </w:rPr>
        <w:t>https://pubmed.ncbi.nlm.nih.gov/42652297/</w:t>
      </w:r>
    </w:p>
    <w:p>
      <w:pPr>
        <w:pStyle w:val="Heading2"/>
      </w:pPr>
      <w:r>
        <w:t>WHO-Schulung für Angehörige von Kindern mit Entwicklungsstörungen: Machbarkeit und Wirkung</w:t>
      </w:r>
    </w:p>
    <w:p>
      <w:r>
        <w:rPr>
          <w:i/>
          <w:color w:val="666666"/>
          <w:sz w:val="18"/>
        </w:rPr>
        <w:t>Megersa SW et al.  ·  BMC Health Serv Res  ·  08.08.2026  ·  PMID 42576219</w:t>
      </w:r>
    </w:p>
    <w:p>
      <w:r>
        <w:t>Mixed-Methods-Studie in Äthiopien mit 127 Angehörigen und Vor-Nach-Design zu Effekten einer WHO-Caregiver-Skilltraining.</w:t>
      </w:r>
    </w:p>
    <w:p>
      <w:r>
        <w:rPr>
          <w:b/>
        </w:rPr>
        <w:t xml:space="preserve">Ergebnis: </w:t>
      </w:r>
      <w:r>
        <w:t>Psychologische (Mdiff=3,01, p=0,019) und Umweltdomänen (Mdiff=4,97, p&lt;0,001) verbesserten sich signifikant. Gesamtlebensqualität und Gesamtbelastung zeigten Trends, erreichten aber nicht Signifikanz (p=0,052 bzw. 0,277). 100% Adhärenz bei denen mit ≥7 Sitzungen.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Äthiopien: Prinzipien ressourcentauglich, Anpassungen an Langzeitpflege möglich</w:t>
      </w:r>
    </w:p>
    <w:p>
      <w:r>
        <w:rPr>
          <w:color w:val="5A7D3A"/>
          <w:sz w:val="18"/>
        </w:rPr>
        <w:t>https://pubmed.ncbi.nlm.nih.gov/42576219/</w:t>
      </w:r>
    </w:p>
    <w:p>
      <w:pPr>
        <w:pStyle w:val="Heading2"/>
      </w:pPr>
      <w:r>
        <w:t>Pflegeerfahrungen Angehöriger in pädiatrischer Onkologie: Was verbessert die Versorgungsqualität</w:t>
      </w:r>
    </w:p>
    <w:p>
      <w:r>
        <w:rPr>
          <w:i/>
          <w:color w:val="666666"/>
          <w:sz w:val="18"/>
        </w:rPr>
        <w:t>Wiśniewska K et al.  ·  J Nurs Scholarsh  ·  Sept. 2026  ·  PMID 42573535</w:t>
      </w:r>
    </w:p>
    <w:p>
      <w:r>
        <w:t>Querschnittsstudie mit 813 primären Angehörigen von krebskranken Kindern in 14 polnischen Zentren zu ihren Versorgungserfahrungen.</w:t>
      </w:r>
    </w:p>
    <w:p>
      <w:r>
        <w:rPr>
          <w:b/>
        </w:rPr>
        <w:t xml:space="preserve">Ergebnis: </w:t>
      </w:r>
      <w:r>
        <w:t>Höchste Zufriedenheit bei Reaktion auf Ruftaste (84,30%), niedrigste bei Fehlerprävention (25,66%). 68,39% gaben Bestnote für das Krankenhaus, 63,22% würden es empfehlen. Kommunikation und Komforterleben waren für Angehörige entscheidend.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 Versorgungsstrukturen, vergleichbare Anforderungen</w:t>
      </w:r>
    </w:p>
    <w:p>
      <w:r>
        <w:rPr>
          <w:color w:val="5A7D3A"/>
          <w:sz w:val="18"/>
        </w:rPr>
        <w:t>https://pubmed.ncbi.nlm.nih.gov/42573535/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2026-08-29T06:00:00Z</dcterms:created>
  <dcterms:modified xsi:type="dcterms:W3CDTF">2026-08-29T06:00:00Z</dcterms:modified>
  <cp:category/>
</cp:coreProperties>
</file>