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03.10.2026  |  252 Studien  |  pflege.m-vf.de</w:t>
      </w:r>
    </w:p>
    <w:p>
      <w:pPr>
        <w:pStyle w:val="Heading1"/>
      </w:pPr>
      <w:r>
        <w:t>Aufgenommen am 03.10.2026</w:t>
      </w:r>
    </w:p>
    <w:p>
      <w:pPr>
        <w:pStyle w:val="Heading2"/>
      </w:pPr>
      <w:r>
        <w:t>Ernährungspflege mit Überwachung der Magen-Darm-Funktion: Wirkung auf Magenverweilzeit und Komplikationen bei Neurochirurgiepatienten</w:t>
      </w:r>
    </w:p>
    <w:p>
      <w:r>
        <w:rPr>
          <w:i/>
          <w:color w:val="666666"/>
          <w:sz w:val="18"/>
        </w:rPr>
        <w:t>Lei H et al.  ·  Medicine (Baltimore)  ·  02.10.2026  ·  PMID 42826338</w:t>
      </w:r>
    </w:p>
    <w:p>
      <w:r>
        <w:t>Retrospektive Kohortenstudie mit 120 Neurochirurgiepatienten, die die klinische Wirksamkeit kombinierter Ernährungspflege mit dynamischer Überwachung der gastrointestinalen Funktion auf Versorgungsergebnisse untersucht.</w:t>
      </w:r>
    </w:p>
    <w:p>
      <w:r>
        <w:rPr>
          <w:b/>
        </w:rPr>
        <w:t xml:space="preserve">Ergebnis: </w:t>
      </w:r>
      <w:r>
        <w:t>Interventionsgruppe (n=60) zeigte signifikant niedrigere Quote abdomineller Distension (16,7% vs. 36,7%, p=0,011), Übelkeit/Erbrechen (11,7% vs. 26,7%, p=0,038) und gastrointestinale Intoleranz gesamt (20,0% vs. 43,3%, p=0,006). Kürzere Beatmungs- und Krankenhausaufenthalte (beide p&lt;0,01), schnellere Darmfunktionswiederherstellung und höhere Pflegezufriedenheit (p&lt;0,05).</w:t>
      </w:r>
    </w:p>
    <w:p>
      <w:r>
        <w:rPr>
          <w:b/>
          <w:sz w:val="19"/>
        </w:rPr>
        <w:t xml:space="preserve">Übertragbarkeit: </w:t>
      </w:r>
      <w:r>
        <w:rPr>
          <w:sz w:val="19"/>
        </w:rPr>
        <w:t>China, Klinikdaten; Überwachungs- und Dokumentationsprinzipien auf Deutschland übertragbar</w:t>
      </w:r>
    </w:p>
    <w:p>
      <w:r>
        <w:rPr>
          <w:color w:val="5A7D3A"/>
          <w:sz w:val="18"/>
        </w:rPr>
        <w:t>https://pubmed.ncbi.nlm.nih.gov/42826338/</w:t>
      </w:r>
    </w:p>
    <w:p>
      <w:pPr>
        <w:pStyle w:val="Heading2"/>
      </w:pPr>
      <w:r>
        <w:t>Pflegefachpersonen und Frailty: Wissens- und Praxislücke trotz positiver Einstellung – Studie in Südwestchina</w:t>
      </w:r>
    </w:p>
    <w:p>
      <w:r>
        <w:rPr>
          <w:i/>
          <w:color w:val="666666"/>
          <w:sz w:val="18"/>
        </w:rPr>
        <w:t>Lyu J et al.  ·  Front Public Health  ·  17.09.2026  ·  PMID 42824785</w:t>
      </w:r>
    </w:p>
    <w:p>
      <w:r>
        <w:t>Querschnittsbefragung von 610 Pflegefachpersonen an 41 Krankenhäusern in Chongqing und Sichuan, die Wissen, Einstellung und praktisches Handeln zu Frailty-Management und deren Determinanten erfasst.</w:t>
      </w:r>
    </w:p>
    <w:p>
      <w:r>
        <w:rPr>
          <w:b/>
        </w:rPr>
        <w:t xml:space="preserve">Ergebnis: </w:t>
      </w:r>
      <w:r>
        <w:t>Mittlerer KAP-Score 103,07±12,65 (max. 127). Einstellung höchste Punktzahl (88,53%), Wissen 81,38%, Praxis niedrigste (74,40%). Jüngste Frailty-Fortbildung unabhängig mit besseren KAP-Gesamtwerten assoziiert (trainiert innerhalb eines Monats vs. nie: β=-6,82, p=0,036). Geritrische-Spezialistin-Zertifikat nur mit Wissen assoziiert (β=2,07, p=0,004), nicht mit Gesamtkompetenz.</w:t>
      </w:r>
    </w:p>
    <w:p>
      <w:r>
        <w:rPr>
          <w:b/>
          <w:sz w:val="19"/>
        </w:rPr>
        <w:t xml:space="preserve">Übertragbarkeit: </w:t>
      </w:r>
      <w:r>
        <w:rPr>
          <w:sz w:val="19"/>
        </w:rPr>
        <w:t>China; Befunde zur Lücke zwischen Einstellung und Praxis relevant für deutsche Altenpflegequalifizierung</w:t>
      </w:r>
    </w:p>
    <w:p>
      <w:r>
        <w:rPr>
          <w:color w:val="5A7D3A"/>
          <w:sz w:val="18"/>
        </w:rPr>
        <w:t>https://pubmed.ncbi.nlm.nih.gov/42824785/</w:t>
      </w:r>
    </w:p>
    <w:p>
      <w:pPr>
        <w:pStyle w:val="Heading2"/>
      </w:pPr>
      <w:r>
        <w:t>Bewegungsintervention für pflegende Angehörige von Krebspatienten: Akzeptanz und Machbarkeit</w:t>
      </w:r>
    </w:p>
    <w:p>
      <w:r>
        <w:rPr>
          <w:i/>
          <w:color w:val="666666"/>
          <w:sz w:val="18"/>
        </w:rPr>
        <w:t>Penner JL et al.  ·  BMC Palliat Care  ·  14.09.2026  ·  PMID 42823685</w:t>
      </w:r>
    </w:p>
    <w:p>
      <w:r>
        <w:t>Qualitative explorative Studie mit 10 pflegenden Angehörigen von Patienten mit fortgeschrittenem Krebs, die die Akzeptanz und Machbarkeit einer individualisierten Bewegungsintervention mit Telefonunterstützung (My Ten) über 6 Wochen untersucht.</w:t>
      </w:r>
    </w:p>
    <w:p>
      <w:r>
        <w:rPr>
          <w:b/>
        </w:rPr>
        <w:t xml:space="preserve">Ergebnis: </w:t>
      </w:r>
      <w:r>
        <w:t>8 von 10 Angehörigen beendeten die Intervention. Bewegungsprogramm als acceptable Strategie wahrgenommen: Angehörige schätzten Fokus auf eigene Selbstfürsorge, Möglichkeit, von Pflege Abstand zu nehmen und trotzdem in Patientennähe zu bleiben. Individualisierte Ziele, Selbstmonitoring und wöchentliche Telefonanrufe zur Problemlösung und Motivation halfen bei Adhärenz.</w:t>
      </w:r>
    </w:p>
    <w:p>
      <w:r>
        <w:rPr>
          <w:b/>
          <w:sz w:val="19"/>
        </w:rPr>
        <w:t xml:space="preserve">Übertragbarkeit: </w:t>
      </w:r>
      <w:r>
        <w:rPr>
          <w:sz w:val="19"/>
        </w:rPr>
        <w:t>Kanada, Intervention übertragbar auf deutsches Verständnis von Entlastung für Angehörige</w:t>
      </w:r>
    </w:p>
    <w:p>
      <w:r>
        <w:rPr>
          <w:color w:val="5A7D3A"/>
          <w:sz w:val="18"/>
        </w:rPr>
        <w:t>https://pubmed.ncbi.nlm.nih.gov/42823685/</w:t>
      </w:r>
    </w:p>
    <w:p>
      <w:pPr>
        <w:pStyle w:val="Heading2"/>
      </w:pPr>
      <w:r>
        <w:t>Heterogenität klinischer Grundkompetenzen bei Pflegefachpersonen: Selbsteffizienz und selbstgesteuertes Lernen als Prädiktoren</w:t>
      </w:r>
    </w:p>
    <w:p>
      <w:r>
        <w:rPr>
          <w:i/>
          <w:color w:val="666666"/>
          <w:sz w:val="18"/>
        </w:rPr>
        <w:t>Huang M et al.  ·  BMJ Open  ·  01.10.2026  ·  PMID 42823114</w:t>
      </w:r>
    </w:p>
    <w:p>
      <w:r>
        <w:t>Querschnittsstudie mit 605 klinischen Pflegefachpersonen in zwei chinesischen Krankenhäusern, die mittels latenter Profileanalyse Kompetenzprofile identifiziert und deren Zusammenhang mit Selbsteffizienz und selbstgelenktem Lernen analysiert.</w:t>
      </w:r>
    </w:p>
    <w:p>
      <w:r>
        <w:rPr>
          <w:b/>
        </w:rPr>
        <w:t xml:space="preserve">Ergebnis: </w:t>
      </w:r>
      <w:r>
        <w:t>Drei Profile: Low-Level-Kompetenz 43,97%, Moderate-Level 41,98%, High-Level 14,05%. Nach Adjustierung: Selbstgesteuertes Lernen positiv assoziiert mit Moderate-Level (OR 1,119, 95%-KI 1,077–1,163) und High-Level (OR 1,142, 95%-KI 1,078–1,210). Selbsteffizienz zeigte ähnliche positive Assoziationen (Moderate: OR 1,161; High: OR 1,578, 95%-KI 1,452–1,715).</w:t>
      </w:r>
    </w:p>
    <w:p>
      <w:r>
        <w:rPr>
          <w:b/>
          <w:sz w:val="19"/>
        </w:rPr>
        <w:t xml:space="preserve">Übertragbarkeit: </w:t>
      </w:r>
      <w:r>
        <w:rPr>
          <w:sz w:val="19"/>
        </w:rPr>
        <w:t>China; Befunde zur Heterogenität und Förderbarkeit durch psychosoziale Faktoren auf deutsche Kompetenzentwicklung übertragbar</w:t>
      </w:r>
    </w:p>
    <w:p>
      <w:r>
        <w:rPr>
          <w:color w:val="5A7D3A"/>
          <w:sz w:val="18"/>
        </w:rPr>
        <w:t>https://pubmed.ncbi.nlm.nih.gov/42823114/</w:t>
      </w:r>
    </w:p>
    <w:p>
      <w:pPr>
        <w:pStyle w:val="Heading2"/>
      </w:pPr>
      <w:r>
        <w:t>Arbeitsplatzattraktivität für Pflegestudenten: was sie bei Praktika erleben und für ihre Karriere bedeutet</w:t>
      </w:r>
    </w:p>
    <w:p>
      <w:r>
        <w:rPr>
          <w:i/>
          <w:color w:val="666666"/>
          <w:sz w:val="18"/>
        </w:rPr>
        <w:t>Tjulin Å et al.  ·  Nurs Open  ·  Okt. 2026  ·  PMID 42817072</w:t>
      </w:r>
    </w:p>
    <w:p>
      <w:r>
        <w:t>Qualitative Studie mit 13 schwedischen Pflegestudenten, die untersucht, wie sie während klinischer Einsätze Arbeitsplätze wahrnehmen und bewerten und welche Faktoren ihre späteren Berufsentscheidungen prägen.</w:t>
      </w:r>
    </w:p>
    <w:p>
      <w:r>
        <w:rPr>
          <w:b/>
        </w:rPr>
        <w:t xml:space="preserve">Ergebnis: </w:t>
      </w:r>
      <w:r>
        <w:t>Vier zentrale Themen prägen die Arbeitsplatzattraktivität: Becoming (Selbstvertrauen und berufliche Identität durch praktische Erfahrung), Belonging (Bedeutung von Beziehungen und Sozialklima), Balancing (Sorgen um Work-Life-Integration) und Beyond (Suche nach Entwicklungsmöglichkeiten). Arbeitsplatzattraktivität entsteht als dynamischer, relationaler Prozess, nicht als festes Merkmal.</w:t>
      </w:r>
    </w:p>
    <w:p>
      <w:r>
        <w:rPr>
          <w:b/>
          <w:sz w:val="19"/>
        </w:rPr>
        <w:t xml:space="preserve">Übertragbarkeit: </w:t>
      </w:r>
      <w:r>
        <w:rPr>
          <w:sz w:val="19"/>
        </w:rPr>
        <w:t>Schweden, qualitative Befunde zu Rekrutierungs- und Retentionsfaktoren übertragbar auf deutsches Ausbildungssystem</w:t>
      </w:r>
    </w:p>
    <w:p>
      <w:r>
        <w:rPr>
          <w:color w:val="5A7D3A"/>
          <w:sz w:val="18"/>
        </w:rPr>
        <w:t>https://pubmed.ncbi.nlm.nih.gov/42817072/</w:t>
      </w:r>
    </w:p>
    <w:p>
      <w:pPr>
        <w:pStyle w:val="Heading2"/>
      </w:pPr>
      <w:r>
        <w:t>Intensiv- und Anästhesiepflege in Deutschland: Strukturen, Leitungsressourcen und Qualifikationsmix – bundesweite Befragung</w:t>
      </w:r>
    </w:p>
    <w:p>
      <w:r>
        <w:rPr>
          <w:i/>
          <w:color w:val="666666"/>
          <w:sz w:val="18"/>
        </w:rPr>
        <w:t>Müller-Wolff T et al.  ·  Anaesthesiologie  ·  08.09.2026  ·  PMID 42709176</w:t>
      </w:r>
    </w:p>
    <w:p>
      <w:r>
        <w:t>Bundesweite Querschnittsbefragung von 550 Leitungspersonen in der Intensiv- und Anästhesiepflege, die organisationale und qualifikationsbezogene Strukturen sowie Barrieren der Pflegeentwicklung erfasst.</w:t>
      </w:r>
    </w:p>
    <w:p>
      <w:r>
        <w:rPr>
          <w:b/>
        </w:rPr>
        <w:t xml:space="preserve">Ergebnis: </w:t>
      </w:r>
      <w:r>
        <w:t>35,9% der Leitungen sind nicht oder nur eingeschränkt für Führungsaufgaben freigestellt; 49,6% berichten Personalengpässe mit unbesetzten Stellen. Nur 17,1% der Fachpflegepersonen übernehmen erweiterte Aufgaben; hochschulisch qualifizierte Pflegefachpersonen sind nur punktuell integriert. Strukturen für Aus-, Fort- und Weiterbildung variieren stark und sind oft vom persönlichen Engagement abhängig.</w:t>
      </w:r>
    </w:p>
    <w:p>
      <w:r>
        <w:rPr>
          <w:b/>
          <w:sz w:val="19"/>
        </w:rPr>
        <w:t xml:space="preserve">Übertragbarkeit: </w:t>
      </w:r>
      <w:r>
        <w:rPr>
          <w:sz w:val="19"/>
        </w:rPr>
        <w:t>Deutschland, direktes Primärdatenproblem; Baseline für Personalentwicklungsplanung und Implementierung Advanced Practice</w:t>
      </w:r>
    </w:p>
    <w:p>
      <w:r>
        <w:rPr>
          <w:color w:val="5A7D3A"/>
          <w:sz w:val="18"/>
        </w:rPr>
        <w:t>https://pubmed.ncbi.nlm.nih.gov/42709176/</w:t>
      </w:r>
    </w:p>
    <w:p>
      <w:pPr>
        <w:pStyle w:val="Heading1"/>
      </w:pPr>
      <w:r>
        <w:t>Aufgenommen am 02.10.2026</w:t>
      </w:r>
    </w:p>
    <w:p>
      <w:pPr>
        <w:pStyle w:val="Heading2"/>
      </w:pPr>
      <w:r>
        <w:t>Schulung in Beatmungspflege reduziert Infektionen: Wirkung auf Wissen, Adhärenz und VAP-Raten</w:t>
      </w:r>
    </w:p>
    <w:p>
      <w:r>
        <w:rPr>
          <w:i/>
          <w:color w:val="666666"/>
          <w:sz w:val="18"/>
        </w:rPr>
        <w:t>Omar DI et al.  ·  Dimens Crit Care Nurs  ·  30.09.2026  ·  PMID 42821858</w:t>
      </w:r>
    </w:p>
    <w:p>
      <w:r>
        <w:t>Quasi-experimentelle Studie in zwei ICUs einer ägyptischen Universitätsklinik mit 262 Pflegenden; Intervention: 12 strukturierte Schulungssitzungen plus Demonstrationen am Bett zu Beatmungsbündel-Praktiken.</w:t>
      </w:r>
    </w:p>
    <w:p>
      <w:r>
        <w:rPr>
          <w:b/>
        </w:rPr>
        <w:t xml:space="preserve">Ergebnis: </w:t>
      </w:r>
      <w:r>
        <w:t>Signifikante Verbesserung des Pflegewissens postintervention (p &lt; 0,001). Compliance mit VAP-Bündel deutlich erhöht. VAP-Inzidenz sank um fast ein Drittel (Zentral-ICU -29,1%; Intermediate-ICU -28,5%), was etwa 1 verhinderte Infektion pro 10 beatmete Patienten entspricht. Mortalität beatmeter Patienten um die Hälfte in Intermediate-ICU reduziert (-53,8%), um ein Drittel in Zentral-ICU (-30,9%).</w:t>
      </w:r>
    </w:p>
    <w:p>
      <w:r>
        <w:rPr>
          <w:b/>
          <w:sz w:val="19"/>
        </w:rPr>
        <w:t xml:space="preserve">Übertragbarkeit: </w:t>
      </w:r>
      <w:r>
        <w:rPr>
          <w:sz w:val="19"/>
        </w:rPr>
        <w:t>Ägypten - Sicherheitseffekt übertragbar, Kontextualisierung auf deutsches System erforderlich</w:t>
      </w:r>
    </w:p>
    <w:p>
      <w:r>
        <w:rPr>
          <w:color w:val="5A7D3A"/>
          <w:sz w:val="18"/>
        </w:rPr>
        <w:t>https://pubmed.ncbi.nlm.nih.gov/42821858/</w:t>
      </w:r>
    </w:p>
    <w:p>
      <w:pPr>
        <w:pStyle w:val="Heading2"/>
      </w:pPr>
      <w:r>
        <w:t>Agitation und Aggression bei Alzheimer-Demenz: Langzeitkosten und informelle Pflege</w:t>
      </w:r>
    </w:p>
    <w:p>
      <w:r>
        <w:rPr>
          <w:i/>
          <w:color w:val="666666"/>
          <w:sz w:val="18"/>
        </w:rPr>
        <w:t>Costa N et al.  ·  Int J Geriatr Psychiatry  ·  Okt. 2026  ·  PMID 42821808</w:t>
      </w:r>
    </w:p>
    <w:p>
      <w:r>
        <w:t>Longitudinale Kohortenstudie über 12 Monate mit 262 Patienten (ambulant und stationär), um die Auswirkung von Verhaltenssymptomen auf Gesamtkosten einschließlich Angehörigenpflege zu bestimmen.</w:t>
      </w:r>
    </w:p>
    <w:p>
      <w:r>
        <w:rPr>
          <w:b/>
        </w:rPr>
        <w:t xml:space="preserve">Ergebnis: </w:t>
      </w:r>
      <w:r>
        <w:t>Zwei Verlaufsmuster identifiziert: Gruppe A (milde Symptome mit Verbesserung) €22.959/Jahr, Gruppe B (moderate Symptome, begrenzte Verbesserung) €23.625/Jahr ohne Beaufsichtigung; mit Beaufsichtigung €52.111 bzw. €56.149. Informelle Pflege entsprach ~70% der Gesamtkosten bei ambulanten Patienten. Beaufsichtigung deckte Mehrheit der informellen Pflegekosten ab.</w:t>
      </w:r>
    </w:p>
    <w:p>
      <w:r>
        <w:rPr>
          <w:b/>
          <w:sz w:val="19"/>
        </w:rPr>
        <w:t xml:space="preserve">Übertragbarkeit: </w:t>
      </w:r>
      <w:r>
        <w:rPr>
          <w:sz w:val="19"/>
        </w:rPr>
        <w:t>Frankreich, vergleichbares System zur Pflegeversicherung Deutschland</w:t>
      </w:r>
    </w:p>
    <w:p>
      <w:r>
        <w:rPr>
          <w:color w:val="5A7D3A"/>
          <w:sz w:val="18"/>
        </w:rPr>
        <w:t>https://pubmed.ncbi.nlm.nih.gov/42821808/</w:t>
      </w:r>
    </w:p>
    <w:p>
      <w:pPr>
        <w:pStyle w:val="Heading2"/>
      </w:pPr>
      <w:r>
        <w:t>Ernsthaftes Spiel für Pflegeleitung in der Primärversorgung: Entwicklung und Validierung</w:t>
      </w:r>
    </w:p>
    <w:p>
      <w:r>
        <w:rPr>
          <w:i/>
          <w:color w:val="666666"/>
          <w:sz w:val="18"/>
        </w:rPr>
        <w:t>Fonseca CCWDMD et al.  ·  Rev Bras Enferm  ·  25.09.2026  ·  PMID 42820591</w:t>
      </w:r>
    </w:p>
    <w:p>
      <w:r>
        <w:t>Methodologische Studie zur Entwicklung und Validierung eines digitalen Spiels für die Leitungskompetenzentwicklung bei Pflegekräften der Primärversorgung; zwei Phasen mit Expertenvalidierung (e-Delphi) und Nutzungsbewertung.</w:t>
      </w:r>
    </w:p>
    <w:p>
      <w:r>
        <w:rPr>
          <w:b/>
        </w:rPr>
        <w:t xml:space="preserve">Ergebnis: </w:t>
      </w:r>
      <w:r>
        <w:t>Content Validity Index global 0,93. Mittlere Usability-Score 92,0 (von 100), Bewertung als Lernressource 97,9. Finales Spiel mit verbessertem Layout, 75 überarbeitete Spielkarten und verfeinerte Regeln. 14 Pflegekräfte bestätigten Einsatzreife für berufliche Praxis.</w:t>
      </w:r>
    </w:p>
    <w:p>
      <w:r>
        <w:rPr>
          <w:b/>
          <w:sz w:val="19"/>
        </w:rPr>
        <w:t xml:space="preserve">Übertragbarkeit: </w:t>
      </w:r>
      <w:r>
        <w:rPr>
          <w:sz w:val="19"/>
        </w:rPr>
        <w:t>Brasilien/Portugal - Methodische Validierung universal, digitales Format ortsunabhängig</w:t>
      </w:r>
    </w:p>
    <w:p>
      <w:r>
        <w:rPr>
          <w:color w:val="5A7D3A"/>
          <w:sz w:val="18"/>
        </w:rPr>
        <w:t>https://pubmed.ncbi.nlm.nih.gov/42820591/</w:t>
      </w:r>
    </w:p>
    <w:p>
      <w:pPr>
        <w:pStyle w:val="Heading2"/>
      </w:pPr>
      <w:r>
        <w:t>Hebammen-gestützte präklinische Geburtsbetreuung: Effekt auf Verzögerungen bei Schwangerschaft</w:t>
      </w:r>
    </w:p>
    <w:p>
      <w:r>
        <w:rPr>
          <w:i/>
          <w:color w:val="666666"/>
          <w:sz w:val="18"/>
        </w:rPr>
        <w:t>Britto AMA et al.  ·  Rev Bras Enferm  ·  28.09.2026  ·  PMID 42820562</w:t>
      </w:r>
    </w:p>
    <w:p>
      <w:r>
        <w:t>Erfahrungsbericht der Pflegeleistungen durch Hebammen im Transportmodul des Cegonha-Carioca-Programms (2012–2024) unter Anwendung des Three-Delays-Modells zur Analyse der Versorgung schwangerer und postpartaler Frauen.</w:t>
      </w:r>
    </w:p>
    <w:p>
      <w:r>
        <w:rPr>
          <w:b/>
        </w:rPr>
        <w:t xml:space="preserve">Ergebnis: </w:t>
      </w:r>
      <w:r>
        <w:t>Öffentliches Bewusstsein für Ambulanzdienst mit Qualität und Humanisierung der Betreuung mindert die Verzögerung bei Aufsuchen von Hilfe. Kostenloser Zugang, strategische Ambulanzplatzierung und designierte Referenzmutterschaftsklinik fördern Zugangsidentifikation und -nutzung. Effiziente Kommunikation, Priorisierung und Alarmsysteme unterstützen zeitgerechte Versorgung. Hebammen-Intervention über präklinisches Setting reduziert mütterliche Mortalität.</w:t>
      </w:r>
    </w:p>
    <w:p>
      <w:r>
        <w:rPr>
          <w:b/>
          <w:sz w:val="19"/>
        </w:rPr>
        <w:t xml:space="preserve">Übertragbarkeit: </w:t>
      </w:r>
      <w:r>
        <w:rPr>
          <w:sz w:val="19"/>
        </w:rPr>
        <w:t>Brasilien - Hebammen-Praxismodell, Übertragbarkeit auf deutsches System mit Kontextualisierung</w:t>
      </w:r>
    </w:p>
    <w:p>
      <w:r>
        <w:rPr>
          <w:color w:val="5A7D3A"/>
          <w:sz w:val="18"/>
        </w:rPr>
        <w:t>https://pubmed.ncbi.nlm.nih.gov/42820562/</w:t>
      </w:r>
    </w:p>
    <w:p>
      <w:pPr>
        <w:pStyle w:val="Heading2"/>
      </w:pPr>
      <w:r>
        <w:t>Klinische Empathie und Kontinuität mindern Versorgungsfragmentierung bei Patienten mit mehreren chronischen Erkrankungen</w:t>
      </w:r>
    </w:p>
    <w:p>
      <w:r>
        <w:rPr>
          <w:i/>
          <w:color w:val="666666"/>
          <w:sz w:val="18"/>
        </w:rPr>
        <w:t>Arakelyan S et al.  ·  Br J Gen Pract  ·  01.10.2026  ·  PMID 42767938</w:t>
      </w:r>
    </w:p>
    <w:p>
      <w:r>
        <w:t>Qualitative Studie mit 6 Fokusgruppen (28 Patienten und Angehörige) in 4 schottischen Health-and-Social-Care-Partnerschaften zur Erfahrung fragmentierter Versorgung und stabilisierender Faktoren.</w:t>
      </w:r>
    </w:p>
    <w:p>
      <w:r>
        <w:rPr>
          <w:b/>
        </w:rPr>
        <w:t xml:space="preserve">Ergebnis: </w:t>
      </w:r>
      <w:r>
        <w:t>Vier Themenbereiche: Dynamische Wechselwirkung zwischen Patienten, Angehörigen, Professionellen und Organisationsstrukturen. Versorgungsänderungen zur Effizienzsteigerung werden oft als Patienten-Bedarf nicht entsprechend wahrgenommen und verursachen Verhaltensänderungen bei Patienten/Angehörigen. Klinische Empathie und Relational Continuity of Care waren zentrale stabilisierende Faktoren in fragmenierten Systemen. Kleine persönliche Interaktionen hatten disproportional große Effekte auf Vertrauen und Engagement.</w:t>
      </w:r>
    </w:p>
    <w:p>
      <w:r>
        <w:rPr>
          <w:b/>
          <w:sz w:val="19"/>
        </w:rPr>
        <w:t xml:space="preserve">Übertragbarkeit: </w:t>
      </w:r>
      <w:r>
        <w:rPr>
          <w:sz w:val="19"/>
        </w:rPr>
        <w:t>Schottland (UK), vergleichbare Gesundheitssystem-Struktur mit Deutschland</w:t>
      </w:r>
    </w:p>
    <w:p>
      <w:r>
        <w:rPr>
          <w:color w:val="5A7D3A"/>
          <w:sz w:val="18"/>
        </w:rPr>
        <w:t>https://pubmed.ncbi.nlm.nih.gov/42767938/</w:t>
      </w:r>
    </w:p>
    <w:p>
      <w:pPr>
        <w:pStyle w:val="Heading2"/>
      </w:pPr>
      <w:r>
        <w:t>Respiratorische Virusinfektionen im Pflegeheim: Klinische Auswirkungen und Differenzierung</w:t>
      </w:r>
    </w:p>
    <w:p>
      <w:r>
        <w:rPr>
          <w:i/>
          <w:color w:val="666666"/>
          <w:sz w:val="18"/>
        </w:rPr>
        <w:t>Kolodziej LM et al.  ·  J Am Med Dir Assoc  ·  05.09.2026  ·  PMID 42700659</w:t>
      </w:r>
    </w:p>
    <w:p>
      <w:r>
        <w:t>Prospektive Kohortenstudie in 15 niederländischen Pflegeheimen (März 2023–Mai 2025) zu 3.195 Bewohnern mit vermuteten akuten Atemwegsinfektionen, um Virustypen und klinische Folgen zu untersuchen.</w:t>
      </w:r>
    </w:p>
    <w:p>
      <w:r>
        <w:rPr>
          <w:b/>
        </w:rPr>
        <w:t xml:space="preserve">Ergebnis: </w:t>
      </w:r>
      <w:r>
        <w:t>526 Atemwegsinfekt-Episoden dokumentiert; Viren in 291 Fällen nachgewiesen: SARS-CoV-2 (29,0%), Influenza A (23,6%), Rhinovirus/Enterovirus (18,8%), RSV (11,8%), hMPV (6,4%). Influenza A zeigte verzögerte Erholung, erhöhten Sauerstoffbedarf und 3-fach erhöhtes Risiko für bakterielle Sekundärpneumonie; hMPV mit 4-fach höherer Bettenlage-Dauer assoziiert. SARS-CoV-2 hatte bessere Erholungsprognose bis Tag 14.</w:t>
      </w:r>
    </w:p>
    <w:p>
      <w:r>
        <w:rPr>
          <w:b/>
          <w:sz w:val="19"/>
        </w:rPr>
        <w:t xml:space="preserve">Übertragbarkeit: </w:t>
      </w:r>
      <w:r>
        <w:rPr>
          <w:sz w:val="19"/>
        </w:rPr>
        <w:t>Niederlande, direkter Anwendungskontext Pflegheim-Versorgung</w:t>
      </w:r>
    </w:p>
    <w:p>
      <w:r>
        <w:rPr>
          <w:color w:val="5A7D3A"/>
          <w:sz w:val="18"/>
        </w:rPr>
        <w:t>https://pubmed.ncbi.nlm.nih.gov/42700659/</w:t>
      </w:r>
    </w:p>
    <w:p>
      <w:pPr>
        <w:pStyle w:val="Heading1"/>
      </w:pPr>
      <w:r>
        <w:t>Aufgenommen am 01.10.2026</w:t>
      </w:r>
    </w:p>
    <w:p>
      <w:pPr>
        <w:pStyle w:val="Heading2"/>
      </w:pPr>
      <w:r>
        <w:t>Mundpflege durch Angehörige: Einfluss auf Zahngesundheit bei Dysphagie-Patienten</w:t>
      </w:r>
    </w:p>
    <w:p>
      <w:r>
        <w:rPr>
          <w:i/>
          <w:color w:val="666666"/>
          <w:sz w:val="18"/>
        </w:rPr>
        <w:t>Kim Y et al.  ·  Spec Care Dentist  ·  Sept. 2026  ·  PMID 42813927</w:t>
      </w:r>
    </w:p>
    <w:p>
      <w:r>
        <w:t>Querschnittsstudie mit 25 Patient-Angehörigen-Paaren in Rehabilitationsklinik zur Beziehung zwischen Zahnpflegepraktiken der Familie und Mundgesundheit.</w:t>
      </w:r>
    </w:p>
    <w:p>
      <w:r>
        <w:rPr>
          <w:b/>
        </w:rPr>
        <w:t xml:space="preserve">Ergebnis: </w:t>
      </w:r>
      <w:r>
        <w:t>Patienten mit mindestens 3x täglicher Mundpflege zeigten signifikant bessere Mundgesundheit (niedrigere M-BOE-Scores). Wichtigste Verbesserungen: Zahnfleisch- und Schleimhautfeuchte, Zungenhygiene, Prothesensauberkeit. Produktnutzung durch Angehörige korrelierte mit besserer Schluckfähigkeit. Pflegedauer von 1 auf 2 Minuten verlängern verschlechterte paradox die Ergebnisse – Technik-Qualität überwiegt Zeitaufwand.</w:t>
      </w:r>
    </w:p>
    <w:p>
      <w:r>
        <w:rPr>
          <w:b/>
          <w:sz w:val="19"/>
        </w:rPr>
        <w:t xml:space="preserve">Übertragbarkeit: </w:t>
      </w:r>
      <w:r>
        <w:rPr>
          <w:sz w:val="19"/>
        </w:rPr>
        <w:t>Deutschland, übertragbar auf Rehabilitations- und Pflegeheim-Settings</w:t>
      </w:r>
    </w:p>
    <w:p>
      <w:r>
        <w:rPr>
          <w:color w:val="5A7D3A"/>
          <w:sz w:val="18"/>
        </w:rPr>
        <w:t>https://pubmed.ncbi.nlm.nih.gov/42813927/</w:t>
      </w:r>
    </w:p>
    <w:p>
      <w:pPr>
        <w:pStyle w:val="Heading2"/>
      </w:pPr>
      <w:r>
        <w:t>Tracheostomie-Versorgungsbündel: Effekt auf Stoma-Integrität und Atemnotbelastung</w:t>
      </w:r>
    </w:p>
    <w:p>
      <w:r>
        <w:rPr>
          <w:i/>
          <w:color w:val="666666"/>
          <w:sz w:val="18"/>
        </w:rPr>
        <w:t>Hammouda EY et al.  ·  Nurs Open  ·  Okt. 2026  ·  PMID 42813890</w:t>
      </w:r>
    </w:p>
    <w:p>
      <w:r>
        <w:t>Quasi-experimentelle Studie mit 80 beatmeten Patienten (je 40 Interventions- und Kontrollgruppe) zur Wirkung eines 12-Element-Versorgungsbündels auf Komplikationen.</w:t>
      </w:r>
    </w:p>
    <w:p>
      <w:r>
        <w:rPr>
          <w:b/>
        </w:rPr>
        <w:t xml:space="preserve">Ergebnis: </w:t>
      </w:r>
      <w:r>
        <w:t>Das Interventionsbündel führte zu signifikanten Verbesserungen: bessere Stoma-Integrität (F=5,849, p&lt;0,001, partielles η²=0,048), niedrigere Atemnotbelastung (RDOS, F=4,382, p=0,014), bessere physiologische Stabilität (NEWS, F=7,838, p&lt;0,001). Weniger Infektionszeichen (Schwellung, Eiter, Hautdefekte) in Interventionsgruppe. Vermutete Atemwegsinfektionen seltener, aber nicht statistisch signifikant unterschiedlich (p=0,168).</w:t>
      </w:r>
    </w:p>
    <w:p>
      <w:r>
        <w:rPr>
          <w:b/>
          <w:sz w:val="19"/>
        </w:rPr>
        <w:t xml:space="preserve">Übertragbarkeit: </w:t>
      </w:r>
      <w:r>
        <w:rPr>
          <w:sz w:val="19"/>
        </w:rPr>
        <w:t>Ägypten, aber Komponenten sind auf deutsches Intensivpflege-Setting übertragbar</w:t>
      </w:r>
    </w:p>
    <w:p>
      <w:r>
        <w:rPr>
          <w:color w:val="5A7D3A"/>
          <w:sz w:val="18"/>
        </w:rPr>
        <w:t>https://pubmed.ncbi.nlm.nih.gov/42813890/</w:t>
      </w:r>
    </w:p>
    <w:p>
      <w:pPr>
        <w:pStyle w:val="Heading2"/>
      </w:pPr>
      <w:r>
        <w:t>Person-zentrierte Pflege in Intensivstationen: Pflege-Kompetenz und Organisationskultur</w:t>
      </w:r>
    </w:p>
    <w:p>
      <w:r>
        <w:rPr>
          <w:i/>
          <w:color w:val="666666"/>
          <w:sz w:val="18"/>
        </w:rPr>
        <w:t>Jang JE et al.  ·  Nurs Crit Care  ·  Nov. 2026  ·  PMID 42813748</w:t>
      </w:r>
    </w:p>
    <w:p>
      <w:r>
        <w:t>Querschnittstudie mit Intensivpflegekräften (n=nicht explizit genannt) in südkoreanischem Universitätskrankenhaus zur Voraussetzung person-zentrierter Pflege.</w:t>
      </w:r>
    </w:p>
    <w:p>
      <w:r>
        <w:rPr>
          <w:b/>
        </w:rPr>
        <w:t xml:space="preserve">Ergebnis: </w:t>
      </w:r>
      <w:r>
        <w:t>Person-zentrierte Pflege korrelierte positiv mit Pflegekompetenz (r=0,37, p&lt;0,001) und positiver Organisationskultur (r=0,46, p&lt;0,001). In Regressionsmodell: positive Organisationskultur (β=0,39, p&lt;0,001) und Pflege-Kompetenz (β=0,27, p&lt;0,001) signifikant assoziiert mit person-zentrierter Pflege. Delir-Versorgungsbelastung zeigte keine signifikante Assoziation – Intensivpflegekräfte bewahren Patientenzentriertheit trotz Belastung.</w:t>
      </w:r>
    </w:p>
    <w:p>
      <w:r>
        <w:rPr>
          <w:b/>
          <w:sz w:val="19"/>
        </w:rPr>
        <w:t xml:space="preserve">Übertragbarkeit: </w:t>
      </w:r>
      <w:r>
        <w:rPr>
          <w:sz w:val="19"/>
        </w:rPr>
        <w:t>Südkorea, konzeptionell übertragbar auf deutsches ICU-Modell</w:t>
      </w:r>
    </w:p>
    <w:p>
      <w:r>
        <w:rPr>
          <w:color w:val="5A7D3A"/>
          <w:sz w:val="18"/>
        </w:rPr>
        <w:t>https://pubmed.ncbi.nlm.nih.gov/42813748/</w:t>
      </w:r>
    </w:p>
    <w:p>
      <w:pPr>
        <w:pStyle w:val="Heading2"/>
      </w:pPr>
      <w:r>
        <w:t>Professionelle Zahnreinigung bei Pflegeheimbewohnern: Effekt auf parodontale Entzündung</w:t>
      </w:r>
    </w:p>
    <w:p>
      <w:r>
        <w:rPr>
          <w:i/>
          <w:color w:val="666666"/>
          <w:sz w:val="18"/>
        </w:rPr>
        <w:t>Barbe AG et al.  ·  Spec Care Dentist  ·  Sept. 2026  ·  PMID 42813596</w:t>
      </w:r>
    </w:p>
    <w:p>
      <w:r>
        <w:t>Randomisierte kontrollierte Studie mit 54 Heimbewohnern zur Wirkung zusätzlicher professioneller Zahnreinigung alle zwei Wochen neben verkürzter parodontaler Therapie.</w:t>
      </w:r>
    </w:p>
    <w:p>
      <w:r>
        <w:rPr>
          <w:b/>
        </w:rPr>
        <w:t xml:space="preserve">Ergebnis: </w:t>
      </w:r>
      <w:r>
        <w:t>Nach 3 Monaten sank die Blutung auf Sondierung (BOP) um 20 Prozentpunkte in der Interventionsgruppe (p=0,002), signifikant mehr als in Kontrolle (p&lt;0,001), aber nicht mehr als Gruppe ohne zusätzliche Reinigung (p=0,203). Zahnfleischtaschentiefe und Plaque-Index verbesserten sich unter Intervention. Zusätzliche Reinigungen zeigten klinischen Nutzen, glich aber schlechte tägliche Mundhygiene nicht vollständig aus.</w:t>
      </w:r>
    </w:p>
    <w:p>
      <w:r>
        <w:rPr>
          <w:b/>
          <w:sz w:val="19"/>
        </w:rPr>
        <w:t xml:space="preserve">Übertragbarkeit: </w:t>
      </w:r>
      <w:r>
        <w:rPr>
          <w:sz w:val="19"/>
        </w:rPr>
        <w:t>Deutschland, ähnliche Langzeitpflegestrukturen und Mundgesundheitsrisiken</w:t>
      </w:r>
    </w:p>
    <w:p>
      <w:r>
        <w:rPr>
          <w:color w:val="5A7D3A"/>
          <w:sz w:val="18"/>
        </w:rPr>
        <w:t>https://pubmed.ncbi.nlm.nih.gov/42813596/</w:t>
      </w:r>
    </w:p>
    <w:p>
      <w:pPr>
        <w:pStyle w:val="Heading2"/>
      </w:pPr>
      <w:r>
        <w:t>Hitzebelastung bei ambulanten Pflegekräften: Arbeitsbedingungen und Gesundheitsschutz</w:t>
      </w:r>
    </w:p>
    <w:p>
      <w:r>
        <w:rPr>
          <w:i/>
          <w:color w:val="666666"/>
          <w:sz w:val="18"/>
        </w:rPr>
        <w:t>Fortunato R et al.  ·  BMC Public Health  ·  29.09.2026  ·  PMID 42811302</w:t>
      </w:r>
    </w:p>
    <w:p>
      <w:r>
        <w:t>Querschnittstudie unter 359 ambulanten Pflegekräften in der Schweiz zu Hitzestress bei der Arbeit, Symptomen und Schutzmaßnahmen.</w:t>
      </w:r>
    </w:p>
    <w:p>
      <w:r>
        <w:rPr>
          <w:b/>
        </w:rPr>
        <w:t xml:space="preserve">Ergebnis: </w:t>
      </w:r>
      <w:r>
        <w:t>86% der Pflegekräfte berichten erhebliche Hitzestress-Belastung. Signifikante Zusammenhänge bestanden zu erhöhter Arbeitsbelastung (OR 14,06), Hitzesymptomen (OR 5,27), eingeschränktem Wasserzugang (OR 2,59) und geografischer Region. Südschweizer Region zeigte 3,98fach höhere Belastung. Dies belegt die bislang unterschätzte Gesundheitsgefährdung dieser Berufsgruppe bei extremer Hitze.</w:t>
      </w:r>
    </w:p>
    <w:p>
      <w:r>
        <w:rPr>
          <w:b/>
          <w:sz w:val="19"/>
        </w:rPr>
        <w:t xml:space="preserve">Übertragbarkeit: </w:t>
      </w:r>
      <w:r>
        <w:rPr>
          <w:sz w:val="19"/>
        </w:rPr>
        <w:t>Schweiz, vergleichbares Versicherungssystem und Versorgungsmodell</w:t>
      </w:r>
    </w:p>
    <w:p>
      <w:r>
        <w:rPr>
          <w:color w:val="5A7D3A"/>
          <w:sz w:val="18"/>
        </w:rPr>
        <w:t>https://pubmed.ncbi.nlm.nih.gov/42811302/</w:t>
      </w:r>
    </w:p>
    <w:p>
      <w:pPr>
        <w:pStyle w:val="Heading2"/>
      </w:pPr>
      <w:r>
        <w:t>Strategien von Pflegekräften bei schwierigen Notrufen: Acht Handgriffe für komplexe Anrufe</w:t>
      </w:r>
    </w:p>
    <w:p>
      <w:r>
        <w:rPr>
          <w:i/>
          <w:color w:val="666666"/>
          <w:sz w:val="18"/>
        </w:rPr>
        <w:t>Holmström IK et al.  ·  J Nurs Manag  ·  2026  ·  PMID 42808345</w:t>
      </w:r>
    </w:p>
    <w:p>
      <w:r>
        <w:t>Analyse von 123 schwierigen Notfall-Anrufen bei 14 Pflegekräften an drei schwedischen Leitstellen: welche Strategien sie einsetzten.</w:t>
      </w:r>
    </w:p>
    <w:p>
      <w:r>
        <w:rPr>
          <w:b/>
        </w:rPr>
        <w:t xml:space="preserve">Ergebnis: </w:t>
      </w:r>
      <w:r>
        <w:t>Die häufigsten Strategien waren: Zeichen verstehen zur Ursachenklärung (76% der Anrufe) und ruhig bleiben (55%). 80% der Anrufe erforderten mehrere kombinierte Strategien; nur 20% nutzten eine einzelne. Bei psychischen Notfällen und Suizidrisiko sowie vagen Symptombeschreibungen wurden Kombinationen besonders häufig. Acht Strategien wurden insgesamt identifiziert – ihr Erfolg ist noch nicht empirisch validiert.</w:t>
      </w:r>
    </w:p>
    <w:p>
      <w:r>
        <w:rPr>
          <w:b/>
          <w:sz w:val="19"/>
        </w:rPr>
        <w:t xml:space="preserve">Übertragbarkeit: </w:t>
      </w:r>
      <w:r>
        <w:rPr>
          <w:sz w:val="19"/>
        </w:rPr>
        <w:t>Schweden, generalisierbar auf deutsches Leitstellen-System</w:t>
      </w:r>
    </w:p>
    <w:p>
      <w:r>
        <w:rPr>
          <w:color w:val="5A7D3A"/>
          <w:sz w:val="18"/>
        </w:rPr>
        <w:t>https://pubmed.ncbi.nlm.nih.gov/42808345/</w:t>
      </w:r>
    </w:p>
    <w:p>
      <w:pPr>
        <w:pStyle w:val="Heading1"/>
      </w:pPr>
      <w:r>
        <w:t>Aufgenommen am 30.09.2026</w:t>
      </w:r>
    </w:p>
    <w:p>
      <w:pPr>
        <w:pStyle w:val="Heading2"/>
      </w:pPr>
      <w:r>
        <w:t>Kommunikation mit maschinell beatmeten Patienten in Intensivstationen: Was pflegen wissen müssen</w:t>
      </w:r>
    </w:p>
    <w:p>
      <w:r>
        <w:rPr>
          <w:i/>
          <w:color w:val="666666"/>
          <w:sz w:val="18"/>
        </w:rPr>
        <w:t>Karlsen MW et al.  ·  Nurs Crit Care  ·  Nov. 2026  ·  PMID 42809309</w:t>
      </w:r>
    </w:p>
    <w:p>
      <w:r>
        <w:t>Sechs Fokusgruppen mit insgesamt 29 Intensivpflegenden aus Dänemark, Norwegen und USA (Ländern mit vergleichbaren Versorgungsstrukturen) erkundeten, wie eine Kommunikationstheorie in der Praxis mit beatmeten Patienten wahrgenommen wird.</w:t>
      </w:r>
    </w:p>
    <w:p>
      <w:r>
        <w:rPr>
          <w:b/>
        </w:rPr>
        <w:t xml:space="preserve">Ergebnis: </w:t>
      </w:r>
      <w:r>
        <w:t>Die Pflegenden identifizierten "Beziehungsaufbau als Ausgangspunkt für sinnvolle Kommunikation" als Kernerkenntnis. Drei Subkategorien traten hervor: (1) Fähigkeiten und Herausforderungen von beatmeten Patienten, (2) Kompetenzen und Strategien der Pflegenden sowie (3) verfügbare Tools und Ressourcen. Die Pflegenden betonten, dass die theoretische Kommunikationstheorie die Beziehungskomponente stärker hervorheben sollte; durch klinische Perspektiven können das Modell und die praktische Umsetzung weiterentwickelt werden.</w:t>
      </w:r>
    </w:p>
    <w:p>
      <w:r>
        <w:rPr>
          <w:b/>
          <w:sz w:val="19"/>
        </w:rPr>
        <w:t xml:space="preserve">Übertragbarkeit: </w:t>
      </w:r>
      <w:r>
        <w:rPr>
          <w:sz w:val="19"/>
        </w:rPr>
        <w:t>Dänemark, Norwegen, europäische Intensivpflege; das Beziehungs-Erste-Paradigma ist kulturübergreifend grundlegend.</w:t>
      </w:r>
    </w:p>
    <w:p>
      <w:r>
        <w:rPr>
          <w:color w:val="5A7D3A"/>
          <w:sz w:val="18"/>
        </w:rPr>
        <w:t>https://pubmed.ncbi.nlm.nih.gov/42809309/</w:t>
      </w:r>
    </w:p>
    <w:p>
      <w:pPr>
        <w:pStyle w:val="Heading2"/>
      </w:pPr>
      <w:r>
        <w:t>Unerfüllte medizinische Bedarfe aus Perspektive von Patienten und pflegenden Angehörigen: Was wirkich zählt</w:t>
      </w:r>
    </w:p>
    <w:p>
      <w:r>
        <w:rPr>
          <w:i/>
          <w:color w:val="666666"/>
          <w:sz w:val="18"/>
        </w:rPr>
        <w:t>Zheng H et al.  ·  J Manag Care Spec Pharm  ·  Okt. 2026  ·  PMID 42809224</w:t>
      </w:r>
    </w:p>
    <w:p>
      <w:r>
        <w:t>Eine mixed-method-Studie mit Workshop und Ranking-Übung (22 Patienten und pflegende Angehörige mit chronischen Erkrankungen) erfasste, welche Bedarfe in der Versorgung aus Sicht der Betroffenen prioritär sind.</w:t>
      </w:r>
    </w:p>
    <w:p>
      <w:r>
        <w:rPr>
          <w:b/>
        </w:rPr>
        <w:t xml:space="preserve">Ergebnis: </w:t>
      </w:r>
      <w:r>
        <w:t>Patienten und Angehörige definierten unerfüllte Bedarfe als Lücken in Zugang, Qualität, Spezialistenwissen und vertrauenswürdiger Information sowie psychische Belastung und finanzielle Härte. Das Ranking identifizierte "Funktionieren des Gesundheitssystems", "ökonomische Belastung" und "Auswirkungen auf Lebensqualität" als Top-3-Prioritäten – vor traditionellen klinischen Effektivitätsmaßen.</w:t>
      </w:r>
    </w:p>
    <w:p>
      <w:r>
        <w:rPr>
          <w:b/>
          <w:sz w:val="19"/>
        </w:rPr>
        <w:t xml:space="preserve">Übertragbarkeit: </w:t>
      </w:r>
      <w:r>
        <w:rPr>
          <w:sz w:val="19"/>
        </w:rPr>
        <w:t>USA, aber Erkenntnisse zu patientendefinierten Prioritäten und Eigenanteilen sind unabhängig von Finanzierungsmodell relevant.</w:t>
      </w:r>
    </w:p>
    <w:p>
      <w:r>
        <w:rPr>
          <w:color w:val="5A7D3A"/>
          <w:sz w:val="18"/>
        </w:rPr>
        <w:t>https://pubmed.ncbi.nlm.nih.gov/42809224/</w:t>
      </w:r>
    </w:p>
    <w:p>
      <w:pPr>
        <w:pStyle w:val="Heading2"/>
      </w:pPr>
      <w:r>
        <w:t>Berufliche Kraft und Kündigungsabsicht von Pflegefachpersonen: Spannungsverhältnis zwischen Arbeitsengagement und Verbleib</w:t>
      </w:r>
    </w:p>
    <w:p>
      <w:r>
        <w:rPr>
          <w:i/>
          <w:color w:val="666666"/>
          <w:sz w:val="18"/>
        </w:rPr>
        <w:t>Díez Ruiz F et al.  ·  J Nurs Manag  ·  2026  ·  PMID 42808646</w:t>
      </w:r>
    </w:p>
    <w:p>
      <w:r>
        <w:t>Eine Querschnittsbefragung in der spanischen Autonomen Gemeinschaft Baskenland (n=182 Pflegende) prüfte die Assoziation zwischen "Vigor" (Vitalität als Kernkomponente des Work Engagement) und Kündigungsabsicht.</w:t>
      </w:r>
    </w:p>
    <w:p>
      <w:r>
        <w:rPr>
          <w:b/>
        </w:rPr>
        <w:t xml:space="preserve">Ergebnis: </w:t>
      </w:r>
      <w:r>
        <w:t>Zwischen Vigor und Kündigungsabsicht bestand eine signifikant negative Assoziation (ρ = −0,44; p &lt; 0,001): Pflegende mit höheren Energieleveln zeigten geringere Kündigungsneigung. Jüngere und nicht-permanente Mitarbeiter wiesen höhere Kündigungsabsichten auf. Die Ergebnisse deuten darauf hin, dass Vitalität und Motivation eine Schlüsselressource darstellen, um Abwanderungstendenz in belastenden Gesundheitssystemen zu mindern.</w:t>
      </w:r>
    </w:p>
    <w:p>
      <w:r>
        <w:rPr>
          <w:b/>
          <w:sz w:val="19"/>
        </w:rPr>
        <w:t xml:space="preserve">Übertragbarkeit: </w:t>
      </w:r>
      <w:r>
        <w:rPr>
          <w:sz w:val="19"/>
        </w:rPr>
        <w:t>Spanien, europäisches System; der psychologische Faktor Vitalität als messbarer Prädiktor für Personalstabilität ist systemunabhängig übertragbar.</w:t>
      </w:r>
    </w:p>
    <w:p>
      <w:r>
        <w:rPr>
          <w:color w:val="5A7D3A"/>
          <w:sz w:val="18"/>
        </w:rPr>
        <w:t>https://pubmed.ncbi.nlm.nih.gov/42808646/</w:t>
      </w:r>
    </w:p>
    <w:p>
      <w:pPr>
        <w:pStyle w:val="Heading2"/>
      </w:pPr>
      <w:r>
        <w:t>Sprachkompetenz internationaler Pflegefachpersonen: Virtuelle Patienteninteraktionen verbessern Prüfungserfolg</w:t>
      </w:r>
    </w:p>
    <w:p>
      <w:r>
        <w:rPr>
          <w:i/>
          <w:color w:val="666666"/>
          <w:sz w:val="18"/>
        </w:rPr>
        <w:t>Ullrich S et al.  ·  GMS J Med Educ  ·  15.09.2026  ·  PMID 42807201</w:t>
      </w:r>
    </w:p>
    <w:p>
      <w:r>
        <w:t>Eine randomisierte Kontrollstudie untersuchte, ob interaktive Schulung mit virtuellen Patientenszenarien internationale Pflegefachpersonen im Anerkennungsverfahren beim Erwerb klinischer Sprachkompetenz unterstützt (B2-für-Pflege-Examen als Lizenzvoraussetzung in mehreren deutschen Bundesländern).</w:t>
      </w:r>
    </w:p>
    <w:p>
      <w:r>
        <w:rPr>
          <w:b/>
        </w:rPr>
        <w:t xml:space="preserve">Ergebnis: </w:t>
      </w:r>
      <w:r>
        <w:t>Die Ausfallquote bei der B2-Pflege-Prüfung sank von 66,7 % in der Kontrollgruppe auf 25,0 % in der Interventionsgruppe (relative Reduktion 62,5 %). Die Kompetenz nahm insbesondere in der Dimension "aktives Sprechen" zu. Klinische Vorgesetzte berichteten von erhöhter Sicherheit und Kompetenz in Team- und Patienteninteraktionen in der Interventionsgruppe, ohne dass Abbruchquoten stiegen (1/13 vs. 2/12).</w:t>
      </w:r>
    </w:p>
    <w:p>
      <w:r>
        <w:rPr>
          <w:b/>
          <w:sz w:val="19"/>
        </w:rPr>
        <w:t xml:space="preserve">Übertragbarkeit: </w:t>
      </w:r>
      <w:r>
        <w:rPr>
          <w:sz w:val="19"/>
        </w:rPr>
        <w:t>Deutschland, praktische Anwendung im Anerkennungsverfahren für International Educated Nurses, direkte Relevanz für deutsche Lizenzierungsanforderungen.</w:t>
      </w:r>
    </w:p>
    <w:p>
      <w:r>
        <w:rPr>
          <w:color w:val="5A7D3A"/>
          <w:sz w:val="18"/>
        </w:rPr>
        <w:t>https://pubmed.ncbi.nlm.nih.gov/42807201/</w:t>
      </w:r>
    </w:p>
    <w:p>
      <w:pPr>
        <w:pStyle w:val="Heading2"/>
      </w:pPr>
      <w:r>
        <w:t>Pflegeworkload im Stroke Unit: Tägliche Belastung und Ressourcenbedarfe gemessen</w:t>
      </w:r>
    </w:p>
    <w:p>
      <w:r>
        <w:rPr>
          <w:i/>
          <w:color w:val="666666"/>
          <w:sz w:val="18"/>
        </w:rPr>
        <w:t>Machado TFA et al.  ·  Nurs Crit Care  ·  Nov. 2026  ·  PMID 42805934</w:t>
      </w:r>
    </w:p>
    <w:p>
      <w:r>
        <w:t>Eine prospektive Beobachtungsstudie in Portugal (Stroke Unit, November 2024–Februar 2025) nutzte das Nursing Activities Score als Werkzeug zur Messung der Pflegeworkload und ihrer Variation über die Verweildauer.</w:t>
      </w:r>
    </w:p>
    <w:p>
      <w:r>
        <w:rPr>
          <w:b/>
        </w:rPr>
        <w:t xml:space="preserve">Ergebnis: </w:t>
      </w:r>
      <w:r>
        <w:t>69 Patienten generierten eine durchschnittliche Pflegeworkload von 45,30 ± 7,39 Punkten/Tag. Die Unit verzeichnete eine mediane Pflegeworkload von 159,40 Punkten/Tag (IQR: 126,60–211,90) bei 82,0 % Auslastung. Aufnahme- und Entlassungstage zeigten signifikant höhere Workload; Bewusstseinsstörungen und Fibrinolyse waren mit erhöhter Workload am Aufnahmetag assoziiert. Die Workload sank signifikant vom ersten zum letzten Messzeitpunkt, was der Besserung des klinischen Zustands entsprach.</w:t>
      </w:r>
    </w:p>
    <w:p>
      <w:r>
        <w:rPr>
          <w:b/>
          <w:sz w:val="19"/>
        </w:rPr>
        <w:t xml:space="preserve">Übertragbarkeit: </w:t>
      </w:r>
      <w:r>
        <w:rPr>
          <w:sz w:val="19"/>
        </w:rPr>
        <w:t>Portugal, vergleichbares europäisches Gesundheitssystem; übertragbares Messkonzept für Personalbemessung im deutschen Kontext.</w:t>
      </w:r>
    </w:p>
    <w:p>
      <w:r>
        <w:rPr>
          <w:color w:val="5A7D3A"/>
          <w:sz w:val="18"/>
        </w:rPr>
        <w:t>https://pubmed.ncbi.nlm.nih.gov/42805934/</w:t>
      </w:r>
    </w:p>
    <w:p>
      <w:pPr>
        <w:pStyle w:val="Heading2"/>
      </w:pPr>
      <w:r>
        <w:t>Was Pflegestudenten über Patientensicherheit lernen: Vorfälle und ihre Ursachen aus vier Ländern</w:t>
      </w:r>
    </w:p>
    <w:p>
      <w:r>
        <w:rPr>
          <w:i/>
          <w:color w:val="666666"/>
          <w:sz w:val="18"/>
        </w:rPr>
        <w:t>Kohanová D et al.  ·  Nurs Health Sci  ·  Dez. 2026  ·  PMID 42799319</w:t>
      </w:r>
    </w:p>
    <w:p>
      <w:r>
        <w:t>Sekundäranalyse qualitativer Daten von 1442 Pflegestudierenden aus Tschechien, Italien, Slowakei und Türkei: Sie beschrieben 287 Sicherheitsvorfälle und 263 wahrgenommene Ursachen, die während praktischer Einsätze beobachtet oder erlebt wurden.</w:t>
      </w:r>
    </w:p>
    <w:p>
      <w:r>
        <w:rPr>
          <w:b/>
        </w:rPr>
        <w:t xml:space="preserve">Ergebnis: </w:t>
      </w:r>
      <w:r>
        <w:t>Am häufigsten wurden Medikamentensicherheitsvorfälle und Stürze berichtet, gefolgt von Infektionsprävention, unterlassener Pflege, Kommunikationsmängeln, unerwünschten Ereignissen und Umgebungsgefährdungen. Studierende beschrieben Vorfälle als multifaktoriell: Patient-, Kontext-, Organisations- und Systemfaktoren sowie menschliche Faktoren spielten Rollen. Länderübergreifende Unterschiede spiegelten eher Muster der Berichterstattung als Unterschiede in Vorfall-Prävalenz wider.</w:t>
      </w:r>
    </w:p>
    <w:p>
      <w:r>
        <w:rPr>
          <w:b/>
          <w:sz w:val="19"/>
        </w:rPr>
        <w:t xml:space="preserve">Übertragbarkeit: </w:t>
      </w:r>
      <w:r>
        <w:rPr>
          <w:sz w:val="19"/>
        </w:rPr>
        <w:t>Vier europäische Länder; die identifizierten Sicherheitsthemen (Medikation, Sturz, Infektionsprävention) sind Kernprobleme deutscher Pflege.</w:t>
      </w:r>
    </w:p>
    <w:p>
      <w:r>
        <w:rPr>
          <w:color w:val="5A7D3A"/>
          <w:sz w:val="18"/>
        </w:rPr>
        <w:t>https://pubmed.ncbi.nlm.nih.gov/42799319/</w:t>
      </w:r>
    </w:p>
    <w:p>
      <w:pPr>
        <w:pStyle w:val="Heading1"/>
      </w:pPr>
      <w:r>
        <w:t>Aufgenommen am 29.09.2026</w:t>
      </w:r>
    </w:p>
    <w:p>
      <w:pPr>
        <w:pStyle w:val="Heading2"/>
      </w:pPr>
      <w:r>
        <w:t>Barrieren für Advance Care Planning in der Krebsversorgung: Ärzte und Pflegende in Oman</w:t>
      </w:r>
    </w:p>
    <w:p>
      <w:r>
        <w:rPr>
          <w:i/>
          <w:color w:val="666666"/>
          <w:sz w:val="18"/>
        </w:rPr>
        <w:t>Al-Zadjali K et al.  ·  Int J Nurs Sci  ·  18.08.2026  ·  PMID 42805732</w:t>
      </w:r>
    </w:p>
    <w:p>
      <w:r>
        <w:t>Querschnittstudie mit 296 Fachleuten (29 % Ärzte, 71 % Pflegende) an drei Krebskliniken untersuchte Wissen, Einstellungen und Praktiken zum Advance Care Planning (ACP).</w:t>
      </w:r>
    </w:p>
    <w:p>
      <w:r>
        <w:rPr>
          <w:b/>
        </w:rPr>
        <w:t xml:space="preserve">Ergebnis: </w:t>
      </w:r>
      <w:r>
        <w:t>91,9 % der Teilnehmer hatten unzureichendes ACP-Wissen, 48,0 % unzureichende Praktiken, 46,0 % ungünstige Einstellungen. Ärzte hatten signifikant höhere Wissens- (9,07 vs. 7,87, p &lt; 0,01) und Einstellungswerte (81,86 vs. 70,89, p &lt; 0,01) als Pflegende. Hauptbarrieren: fehlende Kommunikationsfähigkeiten (57,6 %), organisatorische Policies (45,1 %), mangelnde Patientenbereitschaft (38,7 %). Bildungsinterventionen und verbesserte Policies sind notwendig.</w:t>
      </w:r>
    </w:p>
    <w:p>
      <w:r>
        <w:rPr>
          <w:b/>
          <w:sz w:val="19"/>
        </w:rPr>
        <w:t xml:space="preserve">Übertragbarkeit: </w:t>
      </w:r>
      <w:r>
        <w:rPr>
          <w:sz w:val="19"/>
        </w:rPr>
        <w:t>Oman - System mit anderen Rahmenbedingungen, Fachkompetenzdefizite übertragbar</w:t>
      </w:r>
    </w:p>
    <w:p>
      <w:r>
        <w:rPr>
          <w:color w:val="5A7D3A"/>
          <w:sz w:val="18"/>
        </w:rPr>
        <w:t>https://pubmed.ncbi.nlm.nih.gov/42805732/</w:t>
      </w:r>
    </w:p>
    <w:p>
      <w:pPr>
        <w:pStyle w:val="Heading2"/>
      </w:pPr>
      <w:r>
        <w:t>Professionelle Identität, Pädagogenkompetenzen und Bereitschaft zu Altenpflege: Pflegestudierendenstudie</w:t>
      </w:r>
    </w:p>
    <w:p>
      <w:r>
        <w:rPr>
          <w:i/>
          <w:color w:val="666666"/>
          <w:sz w:val="18"/>
        </w:rPr>
        <w:t>Wang S et al.  ·  Int J Gynecol Pathol  ·  28.09.2026  ·  PMID 42804804</w:t>
      </w:r>
    </w:p>
    <w:p>
      <w:r>
        <w:t>Querschnittstudie mit 842 Pflegestudierenden untersuchte Zusammenhänge zwischen professioneller Identität, wahrgenommener Pädagogenkompetenz und Bereitschaft zur Gerontologie.</w:t>
      </w:r>
    </w:p>
    <w:p>
      <w:r>
        <w:rPr>
          <w:b/>
        </w:rPr>
        <w:t xml:space="preserve">Ergebnis: </w:t>
      </w:r>
      <w:r>
        <w:t>Professionelle Identität-Score 59,77 ± 10,85; Pädagogenkompetenz 111,70 ± 19,42; Altenpflege-Bereitschaft 71,71 ± 11,17. Identität korrelierte positiv mit Pädagogenkompetenz (β = 0,70, p &lt; 0,001); Pädagogenkompetenz mit Altenpflege-Bereitschaft (β = 0,33, p &lt; 0,001). Pädagogenkompetenz mediierte indirekt Assoziation Identität-Bereitschaft (indirekter Effekt = 0,230, 95 % CI [0,164, 0,296]). Finales Strukturmodell guter Fit (χ²/df = 2,954, GFI = 0,961, TLI = 0,977, CFI = 0,983).</w:t>
      </w:r>
    </w:p>
    <w:p>
      <w:r>
        <w:rPr>
          <w:b/>
          <w:sz w:val="19"/>
        </w:rPr>
        <w:t xml:space="preserve">Übertragbarkeit: </w:t>
      </w:r>
      <w:r>
        <w:rPr>
          <w:sz w:val="19"/>
        </w:rPr>
        <w:t>China - Ausbildungseffekte auf Berufszufriedenheit relevant</w:t>
      </w:r>
    </w:p>
    <w:p>
      <w:r>
        <w:rPr>
          <w:color w:val="5A7D3A"/>
          <w:sz w:val="18"/>
        </w:rPr>
        <w:t>https://pubmed.ncbi.nlm.nih.gov/42804804/</w:t>
      </w:r>
    </w:p>
    <w:p>
      <w:pPr>
        <w:pStyle w:val="Heading2"/>
      </w:pPr>
      <w:r>
        <w:t>Co-kreierte Führung und Pflegearb eitsumgebung in Saudi-Arabien: Partizipative Interventionsstudie</w:t>
      </w:r>
    </w:p>
    <w:p>
      <w:r>
        <w:rPr>
          <w:i/>
          <w:color w:val="666666"/>
          <w:sz w:val="18"/>
        </w:rPr>
        <w:t>Alruwaili MM  ·  J Nurs Manag  ·  2026  ·  PMID 42802664</w:t>
      </w:r>
    </w:p>
    <w:p>
      <w:r>
        <w:t>Fünf-Krankenhaus-Partizipative-Aktionsforschung (N = 200, Retention 86 %) evaluierte kokreierte unterstützende Führung auf Arbeitsumgebung, Burnout und Verbleib.</w:t>
      </w:r>
    </w:p>
    <w:p>
      <w:r>
        <w:rPr>
          <w:b/>
        </w:rPr>
        <w:t xml:space="preserve">Ergebnis: </w:t>
      </w:r>
      <w:r>
        <w:t>Practice Environment Scale verbesserte sich (d = 0,36). Personen- und arbeitsbedingte Burnout sanken, Arbeitszufriedenheit stieg, Kündigungsabsicht sank; patientenbezogenes Burnout blieb unverändert. 13 von 20 unadjustierten Change-Pathway-Intervallen schlossen Null aus. Vier Interaktionen nominal signifikant, keine überlebten False-Discovery-Rate-Korrektur. Qualitative Daten kontextualisierten, bestätigten aber nicht vollständig quantitative Muster.</w:t>
      </w:r>
    </w:p>
    <w:p>
      <w:r>
        <w:rPr>
          <w:b/>
          <w:sz w:val="19"/>
        </w:rPr>
        <w:t xml:space="preserve">Übertragbarkeit: </w:t>
      </w:r>
      <w:r>
        <w:rPr>
          <w:sz w:val="19"/>
        </w:rPr>
        <w:t>Saudi-Arabien, hierarchische Strukturen - Führungsmechanismen teilweise übertragbar</w:t>
      </w:r>
    </w:p>
    <w:p>
      <w:r>
        <w:rPr>
          <w:color w:val="5A7D3A"/>
          <w:sz w:val="18"/>
        </w:rPr>
        <w:t>https://pubmed.ncbi.nlm.nih.gov/42802664/</w:t>
      </w:r>
    </w:p>
    <w:p>
      <w:pPr>
        <w:pStyle w:val="Heading2"/>
      </w:pPr>
      <w:r>
        <w:t>Mobbing, Mitgefühlsmüdigkeit und Organisationsstille bei Operationssaalspflegenden</w:t>
      </w:r>
    </w:p>
    <w:p>
      <w:r>
        <w:rPr>
          <w:i/>
          <w:color w:val="666666"/>
          <w:sz w:val="18"/>
        </w:rPr>
        <w:t>Eslami J et al.  ·  J Nurs Manag  ·  2026  ·  PMID 42802612</w:t>
      </w:r>
    </w:p>
    <w:p>
      <w:r>
        <w:t>Querschnittsstudie mit 305 OP-Pflegenden in iranischen Lehrkrankenhäusern untersuchte Zusammenhänge zwischen Mobbing, Mitgefühlsmüdigkeit und Organisationsstille (Unwilligkeit, Sicherheitsbedenken zu äußern).</w:t>
      </w:r>
    </w:p>
    <w:p>
      <w:r>
        <w:rPr>
          <w:b/>
        </w:rPr>
        <w:t xml:space="preserve">Ergebnis: </w:t>
      </w:r>
      <w:r>
        <w:t>OP-Pflegende berichteten moderate Mobbing- und Mitgefühlsmüdigkeitswerte, aber hohe Organisationsstille-Scores. Mobbing (β = 0,35, p &lt; 0,001) und Mitgefühlsmüdigkeit (β = 0,27, p &lt; 0,001) waren mit höherer Organisationsstille assoziiert. Interaktion war signifikant (β = 0,18, p = 0,002; R² = 0,34): Assoziation Mobbing-Stille war stärker bei hoher Mitgefühlsmüdigkeit. Befristet beschäftigte Pflegende berichteten höhere Stille als Festangestellte.</w:t>
      </w:r>
    </w:p>
    <w:p>
      <w:r>
        <w:rPr>
          <w:b/>
          <w:sz w:val="19"/>
        </w:rPr>
        <w:t xml:space="preserve">Übertragbarkeit: </w:t>
      </w:r>
      <w:r>
        <w:rPr>
          <w:sz w:val="19"/>
        </w:rPr>
        <w:t>Iran - Strukturen und Faktoren kulturübergreifend relevant</w:t>
      </w:r>
    </w:p>
    <w:p>
      <w:r>
        <w:rPr>
          <w:color w:val="5A7D3A"/>
          <w:sz w:val="18"/>
        </w:rPr>
        <w:t>https://pubmed.ncbi.nlm.nih.gov/42802612/</w:t>
      </w:r>
    </w:p>
    <w:p>
      <w:pPr>
        <w:pStyle w:val="Heading2"/>
      </w:pPr>
      <w:r>
        <w:t>Advanced Practice Nursing in der Schweizer Gemeindeversorgung: Symposium-Kernaussagen</w:t>
      </w:r>
    </w:p>
    <w:p>
      <w:r>
        <w:rPr>
          <w:i/>
          <w:color w:val="666666"/>
          <w:sz w:val="18"/>
        </w:rPr>
        <w:t>Pellet J et al.  ·  Swiss Med Wkly  ·  22.09.2026  ·  PMID 42801452</w:t>
      </w:r>
    </w:p>
    <w:p>
      <w:r>
        <w:t>Überblick eines nationalen Symposiums (Dezember 2025) mit Schweizer Fachexperten zu Advanced Practice Nursing (APN) als Hebel zur Sicherung zugänglicher, koordinierter Gemeindeversorgung bei Fachkräftemangel und wachsender Multimorbidität.</w:t>
      </w:r>
    </w:p>
    <w:p>
      <w:r>
        <w:rPr>
          <w:b/>
        </w:rPr>
        <w:t xml:space="preserve">Ergebnis: </w:t>
      </w:r>
      <w:r>
        <w:t>Internationale Evidenz unterstützt APN-Beitrag zu Zugang, Kontinuität und Versorgungsqualität. APN-Integration in Schweizer Gesundheitssystem bleibt heterogen. Kernaussage: APN as vielversprechendster Hebel zur Aufrechterhaltung Gemeindeversorgung trotz Arztkräftemangel, steigende Multimorbidität, alternde Bevölkerung; Standardisierung und Integrationswege in allen Kantonen erforderlich.</w:t>
      </w:r>
    </w:p>
    <w:p>
      <w:r>
        <w:rPr>
          <w:b/>
          <w:sz w:val="19"/>
        </w:rPr>
        <w:t xml:space="preserve">Übertragbarkeit: </w:t>
      </w:r>
      <w:r>
        <w:rPr>
          <w:sz w:val="19"/>
        </w:rPr>
        <w:t>Schweiz, ähnliches Versicherungssystem, vergleichbare Ausgangslage</w:t>
      </w:r>
    </w:p>
    <w:p>
      <w:r>
        <w:rPr>
          <w:color w:val="5A7D3A"/>
          <w:sz w:val="18"/>
        </w:rPr>
        <w:t>https://pubmed.ncbi.nlm.nih.gov/42801452/</w:t>
      </w:r>
    </w:p>
    <w:p>
      <w:pPr>
        <w:pStyle w:val="Heading2"/>
      </w:pPr>
      <w:r>
        <w:t>Pflegend-Patient-Beziehung in dänischen Intensivstationen: Ethnografische Studie</w:t>
      </w:r>
    </w:p>
    <w:p>
      <w:r>
        <w:rPr>
          <w:i/>
          <w:color w:val="666666"/>
          <w:sz w:val="18"/>
        </w:rPr>
        <w:t>Søndergaard MP et al.  ·  Aust Crit Care  ·  18.09.2026  ·  PMID 42759354</w:t>
      </w:r>
    </w:p>
    <w:p>
      <w:r>
        <w:t>Ethnografische Studie (94 h Beobachtungen mit 25 Patienten, Dänemark Mai 2024–März 2025) untersuchte wie Pflegende Beziehungen zu bewusst beatmeten Intensivpatienten gestalten.</w:t>
      </w:r>
    </w:p>
    <w:p>
      <w:r>
        <w:rPr>
          <w:b/>
        </w:rPr>
        <w:t xml:space="preserve">Ergebnis: </w:t>
      </w:r>
      <w:r>
        <w:t>Vier Subthemen innerhalb übergeordneter Dimension der relationalen Orientierung auf Kontinuum: (1) Navigation der Aufmerksamkeit in Patientenversorgung; (2) Patientenanwaltschaft als zentral für Vertrauensaufbau; (3) aktive Patientenbeteiligung als zentral; (4) Berührung als Aspekt nonverbaler Kommunikation. Pflegende navigieren dynamisch Kontinuum zwischen technisch-instrumentellem und relationalem Fokus unter Ausbalancierung von Sicherheit, Vertrauen, Zusammenarbeit, Aufmerksamkeit und Patienteninvolvierung.</w:t>
      </w:r>
    </w:p>
    <w:p>
      <w:r>
        <w:rPr>
          <w:b/>
          <w:sz w:val="19"/>
        </w:rPr>
        <w:t xml:space="preserve">Übertragbarkeit: </w:t>
      </w:r>
      <w:r>
        <w:rPr>
          <w:sz w:val="19"/>
        </w:rPr>
        <w:t>Dänemark, skandinavische Gesundheitssystem-Strukturen, Relationsqualität übertragbar</w:t>
      </w:r>
    </w:p>
    <w:p>
      <w:r>
        <w:rPr>
          <w:color w:val="5A7D3A"/>
          <w:sz w:val="18"/>
        </w:rPr>
        <w:t>https://pubmed.ncbi.nlm.nih.gov/42759354/</w:t>
      </w:r>
    </w:p>
    <w:p>
      <w:pPr>
        <w:pStyle w:val="Heading1"/>
      </w:pPr>
      <w:r>
        <w:t>Aufgenommen am 28.09.2026</w:t>
      </w:r>
    </w:p>
    <w:p>
      <w:pPr>
        <w:pStyle w:val="Heading2"/>
      </w:pPr>
      <w:r>
        <w:t>Unterlassene Pflege im Notfall- und Intensivdienst: Netzwerkanalyse zentraler, Brücken- und Hebel-Aktivitäten</w:t>
      </w:r>
    </w:p>
    <w:p>
      <w:r>
        <w:rPr>
          <w:i/>
          <w:color w:val="666666"/>
          <w:sz w:val="18"/>
        </w:rPr>
        <w:t>Lv F et al.  ·  J Nurs Manag  ·  2026  ·  PMID 42801313</w:t>
      </w:r>
    </w:p>
    <w:p>
      <w:r>
        <w:t>Sekundäranalyse von 3351 Notfall- und Intensivpflegefachpersonen aus 22 chinesischen Krankenhäusern mit Netzwerkmodellierung zur bedingten Assoziation von 24 unterlassenen Pflegeaktivitäten mittels Ising-Modell und Perturbationsanalyse.</w:t>
      </w:r>
    </w:p>
    <w:p>
      <w:r>
        <w:rPr>
          <w:b/>
        </w:rPr>
        <w:t xml:space="preserve">Ergebnis: </w:t>
      </w:r>
      <w:r>
        <w:t>Netzwerk: 109 von 276 möglichen Kanten (108 positiv). Höchste Expected Influence (Zentralität): Vitalzeichenüberwachung (8,97), gefolgt von Rehabilitationsanleitung und Bestandsaufnahme. Höchste Bridge EI: Dekubitus-/Wundversorgung (6,94). Emotionale Unterstützung und Baden/Hautpflege waren als Hebelpunkte am robustesten. Emotionale Unterstützung: Reduktion um 2,70 Knoten bei 2-SD-Threshold-Senkung.</w:t>
      </w:r>
    </w:p>
    <w:p>
      <w:r>
        <w:rPr>
          <w:b/>
          <w:sz w:val="19"/>
        </w:rPr>
        <w:t xml:space="preserve">Übertragbarkeit: </w:t>
      </w:r>
      <w:r>
        <w:rPr>
          <w:sz w:val="19"/>
        </w:rPr>
        <w:t>China - Metodisch anwendbar, Priorisierung unterlassener Pflege relevant für deutsche Qualitätsmessung</w:t>
      </w:r>
    </w:p>
    <w:p>
      <w:r>
        <w:rPr>
          <w:color w:val="5A7D3A"/>
          <w:sz w:val="18"/>
        </w:rPr>
        <w:t>https://pubmed.ncbi.nlm.nih.gov/42801313/</w:t>
      </w:r>
    </w:p>
    <w:p>
      <w:pPr>
        <w:pStyle w:val="Heading2"/>
      </w:pPr>
      <w:r>
        <w:t>Museumsbasierte Schulung zu klinischer Beobachtung: Wirksamkeit bei 874 Pflegestudierenden</w:t>
      </w:r>
    </w:p>
    <w:p>
      <w:r>
        <w:rPr>
          <w:i/>
          <w:color w:val="666666"/>
          <w:sz w:val="18"/>
        </w:rPr>
        <w:t>Pestaña ÁC et al.  ·  Perspect Med Educ  ·  25.09.2026  ·  PMID 42799497</w:t>
      </w:r>
    </w:p>
    <w:p>
      <w:r>
        <w:t>Pilotstudie mit 874 Pflegestudierenden an zwei Universitäten, die ein museumspädagogisches Programm zur Förderung genauen klinischen Beobachtens, evidenzgestützter Beschreibung und humanistischer Reflexion absolvierten.</w:t>
      </w:r>
    </w:p>
    <w:p>
      <w:r>
        <w:rPr>
          <w:b/>
        </w:rPr>
        <w:t xml:space="preserve">Ergebnis: </w:t>
      </w:r>
      <w:r>
        <w:t>Studierende berichteten post-Intervention signifikant höhere Scores in wahrgenommener Wissenserweiterung (p &lt; 0,05), klinischen Beobachtungsfähigkeiten (p &lt; 0,05) und Bildungswert (p &lt; 0,05). Die qualitative Analyse zeigte hohes Vertrauen in Übertragbarkeit auf klinische Praxis und Wertschätzung der Kunstintegration.</w:t>
      </w:r>
    </w:p>
    <w:p>
      <w:r>
        <w:rPr>
          <w:b/>
          <w:sz w:val="19"/>
        </w:rPr>
        <w:t xml:space="preserve">Übertragbarkeit: </w:t>
      </w:r>
      <w:r>
        <w:rPr>
          <w:sz w:val="19"/>
        </w:rPr>
        <w:t>Spanien/Großbritannien, Struktur und Methoden direkt übertragbar auf deutschsprachige Pflegeausbildung</w:t>
      </w:r>
    </w:p>
    <w:p>
      <w:r>
        <w:rPr>
          <w:color w:val="5A7D3A"/>
          <w:sz w:val="18"/>
        </w:rPr>
        <w:t>https://pubmed.ncbi.nlm.nih.gov/42799497/</w:t>
      </w:r>
    </w:p>
    <w:p>
      <w:pPr>
        <w:pStyle w:val="Heading2"/>
      </w:pPr>
      <w:r>
        <w:t>Kompetenz von Krebspflege-Navigatorinnen und Patientenzufriedenheit: Ergebnis in Ägypten</w:t>
      </w:r>
    </w:p>
    <w:p>
      <w:r>
        <w:rPr>
          <w:i/>
          <w:color w:val="666666"/>
          <w:sz w:val="18"/>
        </w:rPr>
        <w:t>Bassyouny HAA et al.  ·  Medicine (Baltimore)  ·  25.09.2026  ·  PMID 42798116</w:t>
      </w:r>
    </w:p>
    <w:p>
      <w:r>
        <w:t>Querschnittsstudie mit 65 Krebspflege-Navigatorinnen und 404 Patienten an einem Krebszentrum zur Beziehung zwischen Navigatorenkompetenzen und Patientenzufriedenheit.</w:t>
      </w:r>
    </w:p>
    <w:p>
      <w:r>
        <w:rPr>
          <w:b/>
        </w:rPr>
        <w:t xml:space="preserve">Ergebnis: </w:t>
      </w:r>
      <w:r>
        <w:t>Mittlere Kompetenzscores: 79,28 ± 8,24; mittlere Patientenzufriedenheit: 93,18 ± 5,68. Starke positive Assoziationen zwischen Gesamtkompetenz und Patientenzufriedenheit (r = 0,70, 95% KI [0,55-0,81], p &lt; 0,001). Koordination der Versorgung und Expertenniveau zeigten stärkste Assoziationen mit Zufriedenheit (r = 0,56-0,65).</w:t>
      </w:r>
    </w:p>
    <w:p>
      <w:r>
        <w:rPr>
          <w:b/>
          <w:sz w:val="19"/>
        </w:rPr>
        <w:t xml:space="preserve">Übertragbarkeit: </w:t>
      </w:r>
      <w:r>
        <w:rPr>
          <w:sz w:val="19"/>
        </w:rPr>
        <w:t>Schwellenländer - Konzept Case Management anwendbar, generalisierbar auf deutsche Versorgung eingeschränkt</w:t>
      </w:r>
    </w:p>
    <w:p>
      <w:r>
        <w:rPr>
          <w:color w:val="5A7D3A"/>
          <w:sz w:val="18"/>
        </w:rPr>
        <w:t>https://pubmed.ncbi.nlm.nih.gov/42798116/</w:t>
      </w:r>
    </w:p>
    <w:p>
      <w:pPr>
        <w:pStyle w:val="Heading2"/>
      </w:pPr>
      <w:r>
        <w:t>Pflegegeleite Sicherheitsmanagement bei der Harnleiterspülung: Reduktion von Infektionen und Hyponatriämie</w:t>
      </w:r>
    </w:p>
    <w:p>
      <w:r>
        <w:rPr>
          <w:i/>
          <w:color w:val="666666"/>
          <w:sz w:val="18"/>
        </w:rPr>
        <w:t>Li Q et al.  ·  Medicine (Baltimore)  ·  25.09.2026  ·  PMID 42798046</w:t>
      </w:r>
    </w:p>
    <w:p>
      <w:r>
        <w:t>Retrospektive Kohortenstudie mit 173 Patienten zur Ureterpyelolithotomie mit und ohne strukturierte pflegegeleite Spülflüssigkeitssicherheit; Vergleich von Baseline, Prozessindikatoren und postoperativen Ergebnissen.</w:t>
      </w:r>
    </w:p>
    <w:p>
      <w:r>
        <w:rPr>
          <w:b/>
        </w:rPr>
        <w:t xml:space="preserve">Ergebnis: </w:t>
      </w:r>
      <w:r>
        <w:t>Mit Protokoll: niedrigere Spüldruck-Messwerte (24,0 vs 42,5 mm Hg, p &lt; 0,001), weniger Fieber &gt; 38,5 °C (4,5% vs 14,1%, p = 0,027), weniger Hyponatriämie (2,3% vs 10,6%, p = 0,027), kürzere Operationszeit (55 vs 65 Minuten, p = 0,004), kürzerer Krankenhausaufenthalt (3 vs 4 Tage, p &lt; 0,001).</w:t>
      </w:r>
    </w:p>
    <w:p>
      <w:r>
        <w:rPr>
          <w:b/>
          <w:sz w:val="19"/>
        </w:rPr>
        <w:t xml:space="preserve">Übertragbarkeit: </w:t>
      </w:r>
      <w:r>
        <w:rPr>
          <w:sz w:val="19"/>
        </w:rPr>
        <w:t>China - Ergebnis direkt anwendbar, Prozess- und Komplikationsverhütung transnational</w:t>
      </w:r>
    </w:p>
    <w:p>
      <w:r>
        <w:rPr>
          <w:color w:val="5A7D3A"/>
          <w:sz w:val="18"/>
        </w:rPr>
        <w:t>https://pubmed.ncbi.nlm.nih.gov/42798046/</w:t>
      </w:r>
    </w:p>
    <w:p>
      <w:pPr>
        <w:pStyle w:val="Heading2"/>
      </w:pPr>
      <w:r>
        <w:t>Pflegegeleite Malnutritionsscreening bei älteren hospitalisierten Patienten: Wirksamkeit der Früherkennung</w:t>
      </w:r>
    </w:p>
    <w:p>
      <w:r>
        <w:rPr>
          <w:i/>
          <w:color w:val="666666"/>
          <w:sz w:val="18"/>
        </w:rPr>
        <w:t>El-Ashry AM et al.  ·  Nutrients  ·  20.09.2026  ·  PMID 42797062</w:t>
      </w:r>
    </w:p>
    <w:p>
      <w:r>
        <w:t>Scoping Review mit 18 eingeschlossenen Studien zu pflegegeleitem Screening mit MNA, MNA-SF, MST, MUST, NRS-2002, SNAQ bei älteren Hospitalisierten hinsichtlich Erkennungsgenauigkeit und Barrieren.</w:t>
      </w:r>
    </w:p>
    <w:p>
      <w:r>
        <w:rPr>
          <w:b/>
        </w:rPr>
        <w:t xml:space="preserve">Ergebnis: </w:t>
      </w:r>
      <w:r>
        <w:t>Standardisiertes Screening verbesserte Unterernährungserkennung von 38,6% auf 73,1%; MST zeigte in Hochrisiko-Kohorte 94% Sensitivität, 89% Spezifität; MNA-SF ICC = 0,74 mit nur moderater Übereinstimmung (Kappa = 0,37). Barrieren: inkonsistente Bewertung, limitiertes Ernährungswissen, Arbeitsbelastung, Dokumentationslücken. Keine Studie maß Komplikationen, Liegedauer oder Mortalität.</w:t>
      </w:r>
    </w:p>
    <w:p>
      <w:r>
        <w:rPr>
          <w:b/>
          <w:sz w:val="19"/>
        </w:rPr>
        <w:t xml:space="preserve">Übertragbarkeit: </w:t>
      </w:r>
      <w:r>
        <w:rPr>
          <w:sz w:val="19"/>
        </w:rPr>
        <w:t>Internationale Evidenz, Instrumente in Deutschland etabliert, Barrieren systemisch relevant</w:t>
      </w:r>
    </w:p>
    <w:p>
      <w:r>
        <w:rPr>
          <w:color w:val="5A7D3A"/>
          <w:sz w:val="18"/>
        </w:rPr>
        <w:t>https://pubmed.ncbi.nlm.nih.gov/42797062/</w:t>
      </w:r>
    </w:p>
    <w:p>
      <w:pPr>
        <w:pStyle w:val="Heading2"/>
      </w:pPr>
      <w:r>
        <w:t>Krankenpflegestudierende und humanoide soziale Roboter in der Geriatrie: Haltungen und Voraussagen für den Pflegeberuf</w:t>
      </w:r>
    </w:p>
    <w:p>
      <w:r>
        <w:rPr>
          <w:i/>
          <w:color w:val="666666"/>
          <w:sz w:val="18"/>
        </w:rPr>
        <w:t>Osypka K et al.  ·  Front Public Health  ·  08.09.2026  ·  PMID 42774093</w:t>
      </w:r>
    </w:p>
    <w:p>
      <w:r>
        <w:t>Querschnittstudie mit 475 polnischen Pflegestudierenden zu Haltungen gegenüber einem sozialen Roboter (TIAGo) und Assoziationen mit Beschäftigungsstatus, Berufserfahrung und technologischer Flüssigkeit.</w:t>
      </w:r>
    </w:p>
    <w:p>
      <w:r>
        <w:rPr>
          <w:b/>
        </w:rPr>
        <w:t xml:space="preserve">Ergebnis: </w:t>
      </w:r>
      <w:r>
        <w:t>475 Studierende (48,5% berufstätig): insgesamt positive Haltungen, Assistenzfunktionen besser bewertet als soziale. Berufstätig beschäftigte Studierende hielten signifikant günstigere Ansichten (zur Animacy höher). Unabhängige Prädiktoren: Beschäftigungsstatus, Alter, selbstbewertete technologische Flüssigkeit. Diese Querschnittsassoziation kann das Integrieren von Mensch-Roboter-Interaktion in Lehrpläne unterstützen.</w:t>
      </w:r>
    </w:p>
    <w:p>
      <w:r>
        <w:rPr>
          <w:b/>
          <w:sz w:val="19"/>
        </w:rPr>
        <w:t xml:space="preserve">Übertragbarkeit: </w:t>
      </w:r>
      <w:r>
        <w:rPr>
          <w:sz w:val="19"/>
        </w:rPr>
        <w:t>Polen - ähnliche Berufsstrukturen wie deutschsprachiger Raum, Technologieakzeptanz vergleichbar</w:t>
      </w:r>
    </w:p>
    <w:p>
      <w:r>
        <w:rPr>
          <w:color w:val="5A7D3A"/>
          <w:sz w:val="18"/>
        </w:rPr>
        <w:t>https://pubmed.ncbi.nlm.nih.gov/42774093/</w:t>
      </w:r>
    </w:p>
    <w:p>
      <w:pPr>
        <w:pStyle w:val="Heading1"/>
      </w:pPr>
      <w:r>
        <w:t>Aufgenommen am 27.09.2026</w:t>
      </w:r>
    </w:p>
    <w:p>
      <w:pPr>
        <w:pStyle w:val="Heading2"/>
      </w:pPr>
      <w:r>
        <w:t>Mobilität während Behandlung zu Hause: was Patienten brauchen – qualitative Studie</w:t>
      </w:r>
    </w:p>
    <w:p>
      <w:r>
        <w:rPr>
          <w:i/>
          <w:color w:val="666666"/>
          <w:sz w:val="18"/>
        </w:rPr>
        <w:t>Ong CY et al.  ·  Ann Med  ·  25.09.2026  ·  PMID 42798239</w:t>
      </w:r>
    </w:p>
    <w:p>
      <w:r>
        <w:t>Qualitative Studie mit 25 Patienten eines Hospital-at-Home-Programms in Singapur zu Wahrnehmung von Mobilität außerhalb des Hauses während stationärer Intensivversorgung daheim.</w:t>
      </w:r>
    </w:p>
    <w:p>
      <w:r>
        <w:rPr>
          <w:b/>
        </w:rPr>
        <w:t xml:space="preserve">Ergebnis: </w:t>
      </w:r>
      <w:r>
        <w:t>Patienten betrachteten Mobilität außer Haus als wichtig für emotionales Wohlbefinden, Genesung und Alltagsroutinen. Entscheidungen balancierten zwischen Autonomie und Verantwortung. Bewährtes Modell: individuelle Risikoeinschätzung statt pauschale Restriktionen. Offene Kommunikation mit Gesundheitsteam zentral.</w:t>
      </w:r>
    </w:p>
    <w:p>
      <w:r>
        <w:rPr>
          <w:b/>
          <w:sz w:val="19"/>
        </w:rPr>
        <w:t xml:space="preserve">Übertragbarkeit: </w:t>
      </w:r>
      <w:r>
        <w:rPr>
          <w:sz w:val="19"/>
        </w:rPr>
        <w:t>Singapur - konzeptionell auf europäische Home-Care-Modelle übertragbar</w:t>
      </w:r>
    </w:p>
    <w:p>
      <w:r>
        <w:rPr>
          <w:color w:val="5A7D3A"/>
          <w:sz w:val="18"/>
        </w:rPr>
        <w:t>https://pubmed.ncbi.nlm.nih.gov/42798239/</w:t>
      </w:r>
    </w:p>
    <w:p>
      <w:pPr>
        <w:pStyle w:val="Heading2"/>
      </w:pPr>
      <w:r>
        <w:t>Standardisiertes Übergabeverfahren: Verbesserung von ICU-zu-Station-Handover durch Checkliste</w:t>
      </w:r>
    </w:p>
    <w:p>
      <w:r>
        <w:rPr>
          <w:i/>
          <w:color w:val="666666"/>
          <w:sz w:val="18"/>
        </w:rPr>
        <w:t>Önler E et al.  ·  Nurs Crit Care  ·  Nov. 2026  ·  PMID 42791598</w:t>
      </w:r>
    </w:p>
    <w:p>
      <w:r>
        <w:t>Prospektive Quality-Improvement-Studie in Türkei: Evaluation eines strukturierten Handover-Prozesses mit Checkliste für Patientenübergaben aus der Intensivstation auf chirurgische Stationen (50 Übergaben vor, 50 nach Implementierung).</w:t>
      </w:r>
    </w:p>
    <w:p>
      <w:r>
        <w:rPr>
          <w:b/>
        </w:rPr>
        <w:t xml:space="preserve">Ergebnis: </w:t>
      </w:r>
      <w:r>
        <w:t>Nach Implementierung: signifikante Verbesserungen in Abdeckung von Patientenidentifikation und Drain-/Katheterinformationen (p&lt;0,001). Handover-Dauer stieg, nicht signifikant (p=0,051). Unterbrechungen blieben bei ~50%. 39 Pflegekräfte berichteten hohe Zufriedenheit mit der standardisierten Übergabe und hohe Bewertung (Akzeptabilität, Praktikabilität, Angemessenheit).</w:t>
      </w:r>
    </w:p>
    <w:p>
      <w:r>
        <w:rPr>
          <w:b/>
          <w:sz w:val="19"/>
        </w:rPr>
        <w:t xml:space="preserve">Übertragbarkeit: </w:t>
      </w:r>
      <w:r>
        <w:rPr>
          <w:sz w:val="19"/>
        </w:rPr>
        <w:t>Türkei, klinisches Sicherheitsthema strukturunabhängig übertragbar</w:t>
      </w:r>
    </w:p>
    <w:p>
      <w:r>
        <w:rPr>
          <w:color w:val="5A7D3A"/>
          <w:sz w:val="18"/>
        </w:rPr>
        <w:t>https://pubmed.ncbi.nlm.nih.gov/42791598/</w:t>
      </w:r>
    </w:p>
    <w:p>
      <w:pPr>
        <w:pStyle w:val="Heading2"/>
      </w:pPr>
      <w:r>
        <w:t>Sprachentwicklungsprogramm für Pflegekräfte: Nutzen und Implementierungshürden</w:t>
      </w:r>
    </w:p>
    <w:p>
      <w:r>
        <w:rPr>
          <w:i/>
          <w:color w:val="666666"/>
          <w:sz w:val="18"/>
        </w:rPr>
        <w:t>Elisabet E et al.  ·  BMC Geriatr  ·  25.09.2026  ·  PMID 42791519</w:t>
      </w:r>
    </w:p>
    <w:p>
      <w:r>
        <w:t>Qualitative Studie zur Evaluation eines Sprachförderinterventionsprogramms für fremdsprachige Mitarbeitende in schwedischen Pflegeheimen aus Perspektive von Leitungskräften, Sprachanwälten und Pflegepersonal.</w:t>
      </w:r>
    </w:p>
    <w:p>
      <w:r>
        <w:rPr>
          <w:b/>
        </w:rPr>
        <w:t xml:space="preserve">Ergebnis: </w:t>
      </w:r>
      <w:r>
        <w:t>Das Programm "Talk about Work" wurde von allen Teilgruppen als geeignet und unterstützend bewertet. Sprachförderung wurde als sensibles Thema wahrgenommen, aber das Programm erleichterte offene Gespräche über Sprachkompetenzen. Hemmnisse für Führungskräfte: Mangel an kompetenten Multiplikatoren. Empfehlung: Personalentwicklung mit gepoolter Ressource und kontinuierliche Zusammenarbeit mit Leitungskräften sind erforderlich.</w:t>
      </w:r>
    </w:p>
    <w:p>
      <w:r>
        <w:rPr>
          <w:b/>
          <w:sz w:val="19"/>
        </w:rPr>
        <w:t xml:space="preserve">Übertragbarkeit: </w:t>
      </w:r>
      <w:r>
        <w:rPr>
          <w:sz w:val="19"/>
        </w:rPr>
        <w:t>Schweden, vergleichbare Herausforderung mit Fachkräftemangel wie Deutschland</w:t>
      </w:r>
    </w:p>
    <w:p>
      <w:r>
        <w:rPr>
          <w:color w:val="5A7D3A"/>
          <w:sz w:val="18"/>
        </w:rPr>
        <w:t>https://pubmed.ncbi.nlm.nih.gov/42791519/</w:t>
      </w:r>
    </w:p>
    <w:p>
      <w:pPr>
        <w:pStyle w:val="Heading2"/>
      </w:pPr>
      <w:r>
        <w:t>Mahlzeiten im Pflegeheim: Partizipation und Lernchancen aus Fachkräftesicht</w:t>
      </w:r>
    </w:p>
    <w:p>
      <w:r>
        <w:rPr>
          <w:i/>
          <w:color w:val="666666"/>
          <w:sz w:val="18"/>
        </w:rPr>
        <w:t>Allert C et al.  ·  BMC Geriatr  ·  24.09.2026  ·  PMID 42791517</w:t>
      </w:r>
    </w:p>
    <w:p>
      <w:r>
        <w:t>Qualitative Interviewstudie mit 23 Pflegefachpersonen in schwedischen Langzeitpflegeeinrichtungen zu deren Wahrnehmung von Partizipation und Lernmöglichkeiten bei Mahlzeiten für Bewohner, Angehörige und Kolleg:innen.</w:t>
      </w:r>
    </w:p>
    <w:p>
      <w:r>
        <w:rPr>
          <w:b/>
        </w:rPr>
        <w:t xml:space="preserve">Ergebnis: </w:t>
      </w:r>
      <w:r>
        <w:t>Partizipation und Lernchancen bei Mahlzeiten ereigneten sich in sehr unterschiedlichem Ausmaß – von umfassend bis kaum vorhanden. Bewohner und Angehörige wurden selten in Problemlösungen einbezogen. Erfolgsfaktoren: Beziehungen, Organisationsstrukturen und Personalausstattung. Fazit: Organisationsweite Veränderungen und tieferes Verständnis von Personenzentrierung notwendig.</w:t>
      </w:r>
    </w:p>
    <w:p>
      <w:r>
        <w:rPr>
          <w:b/>
          <w:sz w:val="19"/>
        </w:rPr>
        <w:t xml:space="preserve">Übertragbarkeit: </w:t>
      </w:r>
      <w:r>
        <w:rPr>
          <w:sz w:val="19"/>
        </w:rPr>
        <w:t>Schweden, ähnliches Pflegeheimmodell, vergleichbare Finanzierungslogik</w:t>
      </w:r>
    </w:p>
    <w:p>
      <w:r>
        <w:rPr>
          <w:color w:val="5A7D3A"/>
          <w:sz w:val="18"/>
        </w:rPr>
        <w:t>https://pubmed.ncbi.nlm.nih.gov/42791517/</w:t>
      </w:r>
    </w:p>
    <w:p>
      <w:pPr>
        <w:pStyle w:val="Heading2"/>
      </w:pPr>
      <w:r>
        <w:t>Versorgungslücken bei unter 60-Jährigen mit Behinderungen: Bedarf für aufsuchende indikationsübergreifende Rehabilitation</w:t>
      </w:r>
    </w:p>
    <w:p>
      <w:r>
        <w:rPr>
          <w:i/>
          <w:color w:val="666666"/>
          <w:sz w:val="18"/>
        </w:rPr>
        <w:t>Armbruster C et al.  ·  BMC Health Serv Res  ·  24.09.2026  ·  PMID 42786497</w:t>
      </w:r>
    </w:p>
    <w:p>
      <w:r>
        <w:t>Deutsche Expertenbefragung (n=136 Fachpersonen) zu Versorgungslücken für Menschen unter 60 mit komplexen Behinderungen und Einschätzung von aufsuchender, indikationsübergreifender Rehabilitationsversorgung als Lösung.</w:t>
      </w:r>
    </w:p>
    <w:p>
      <w:r>
        <w:rPr>
          <w:b/>
        </w:rPr>
        <w:t xml:space="preserve">Ergebnis: </w:t>
      </w:r>
      <w:r>
        <w:t>Experten erkannten hohes Niveau ungedeckter Bedarfe in aktuellen Rehabilitationsangeboten. Indikationsübergreifende aufsuchende Rehabilitation erhielt positive Bewertungen bezüglich Notwendigkeit, Mehrwert und Praktikabilität als ergänzendes Angebot. Mehrheit sah darin Potential zur Schließung von Versorgungslücken.</w:t>
      </w:r>
    </w:p>
    <w:p>
      <w:r>
        <w:rPr>
          <w:b/>
          <w:sz w:val="19"/>
        </w:rPr>
        <w:t xml:space="preserve">Übertragbarkeit: </w:t>
      </w:r>
      <w:r>
        <w:rPr>
          <w:sz w:val="19"/>
        </w:rPr>
        <w:t>Deutschland direkt, Expertise zum deutschen Rehabilitationssystem</w:t>
      </w:r>
    </w:p>
    <w:p>
      <w:r>
        <w:rPr>
          <w:color w:val="5A7D3A"/>
          <w:sz w:val="18"/>
        </w:rPr>
        <w:t>https://pubmed.ncbi.nlm.nih.gov/42786497/</w:t>
      </w:r>
    </w:p>
    <w:p>
      <w:pPr>
        <w:pStyle w:val="Heading2"/>
      </w:pPr>
      <w:r>
        <w:t>Was Patienten mit fortgeschrittenem Krebs und Angehörige vom guten Sterben erwarten: Kulturvergleich</w:t>
      </w:r>
    </w:p>
    <w:p>
      <w:r>
        <w:rPr>
          <w:i/>
          <w:color w:val="666666"/>
          <w:sz w:val="18"/>
        </w:rPr>
        <w:t>Abu-Odah H et al.  ·  JAMA Netw Open  ·  01.09.2026  ·  PMID 42734917</w:t>
      </w:r>
    </w:p>
    <w:p>
      <w:r>
        <w:t>Querschnittsstudie mit 1.059 Personen (640 Patienten mit Stadium III/IV Krebs, 419 Angehörige) aus fünf Ländern zur Bedeutung von Dimensionen eines "guten Todes" mittels 54-Item-Instrument.</w:t>
      </w:r>
    </w:p>
    <w:p>
      <w:r>
        <w:rPr>
          <w:b/>
        </w:rPr>
        <w:t xml:space="preserve">Ergebnis: </w:t>
      </w:r>
      <w:r>
        <w:t>Good-Death-Inventory zeigte ausgezeichnete interne Konsistenz (Cronbach α=0,94). Mittelwerte unterschieden sich signifikant zwischen Ländern (partial η²=0,383, p&lt;0,001). Höchste Scores Gaza (M=5,93, SD=0,56) und Griechenland (5,88, SD=0,30) – Fokus auf emotionalen Frieden, Familienzusammenhalt, spirituelle Akzeptanz. Niedrigste Scores Türkei (M=4,71, SD=0,87) und Hongkong (4,93, SD=0,71). Patient-Angehörigen-Unterschiede gering.</w:t>
      </w:r>
    </w:p>
    <w:p>
      <w:r>
        <w:rPr>
          <w:b/>
          <w:sz w:val="19"/>
        </w:rPr>
        <w:t xml:space="preserve">Übertragbarkeit: </w:t>
      </w:r>
      <w:r>
        <w:rPr>
          <w:sz w:val="19"/>
        </w:rPr>
        <w:t>Mehrländerstudie, kulturelle Unterschiede betonen Notwendigkeit kontextsensitiver Palliativversorgung</w:t>
      </w:r>
    </w:p>
    <w:p>
      <w:r>
        <w:rPr>
          <w:color w:val="5A7D3A"/>
          <w:sz w:val="18"/>
        </w:rPr>
        <w:t>https://pubmed.ncbi.nlm.nih.gov/42734917/</w:t>
      </w:r>
    </w:p>
    <w:p>
      <w:pPr>
        <w:pStyle w:val="Heading1"/>
      </w:pPr>
      <w:r>
        <w:t>Aufgenommen am 26.09.2026</w:t>
      </w:r>
    </w:p>
    <w:p>
      <w:pPr>
        <w:pStyle w:val="Heading2"/>
      </w:pPr>
      <w:r>
        <w:t>Früh in Karriere: Was halten Pflegekräfte für gute Arbeitsbedingungen im NHS</w:t>
      </w:r>
    </w:p>
    <w:p>
      <w:r>
        <w:rPr>
          <w:i/>
          <w:color w:val="666666"/>
          <w:sz w:val="18"/>
        </w:rPr>
        <w:t>Ejebu OZ et al.  ·  BMJ Open  ·  25.09.2026  ·  PMID 42790917</w:t>
      </w:r>
    </w:p>
    <w:p>
      <w:r>
        <w:t>Diskrete-Wahl-Experiment mit 5696 englischen Jungpfleger*innen zu ihren Jobpräferenzen mittels acht Attributen (Karriereentwicklung, Unterstützung, Teamwork, Management, Flexibilität, Arbeitsbelastung, Anerkennung, Gehalt).</w:t>
      </w:r>
    </w:p>
    <w:p>
      <w:r>
        <w:rPr>
          <w:b/>
        </w:rPr>
        <w:t xml:space="preserve">Ergebnis: </w:t>
      </w:r>
      <w:r>
        <w:t>Jungpfleger*innen bevorzugten starkes Teamwork (9.419 Pfund Gehaltsausfall akzeptabel), unterstützende Manager (6.534 Pfund) und niedrige Arbeitsbelastung (6.055 Pfund). Alle drei Faktoren zeigten signifikant hohe Wertschätzung; gute Zusammenarbeit wurde am stärksten priorisiert.</w:t>
      </w:r>
    </w:p>
    <w:p>
      <w:r>
        <w:rPr>
          <w:b/>
          <w:sz w:val="19"/>
        </w:rPr>
        <w:t xml:space="preserve">Übertragbarkeit: </w:t>
      </w:r>
      <w:r>
        <w:rPr>
          <w:sz w:val="19"/>
        </w:rPr>
        <w:t>England, NHS-Kontext – für deutsches System: Generalisierbarkeit begrenzt durch unterschiedliche Arbeitsmarkt- und Gesundheitssystembedingungen.</w:t>
      </w:r>
    </w:p>
    <w:p>
      <w:r>
        <w:rPr>
          <w:color w:val="5A7D3A"/>
          <w:sz w:val="18"/>
        </w:rPr>
        <w:t>https://pubmed.ncbi.nlm.nih.gov/42790917/</w:t>
      </w:r>
    </w:p>
    <w:p>
      <w:pPr>
        <w:pStyle w:val="Heading2"/>
      </w:pPr>
      <w:r>
        <w:t>Kosten und Finanzierungsverteilung von erweiterten Hausbesuchsprogrammen: das schwedische Modell</w:t>
      </w:r>
    </w:p>
    <w:p>
      <w:r>
        <w:rPr>
          <w:i/>
          <w:color w:val="666666"/>
          <w:sz w:val="18"/>
        </w:rPr>
        <w:t>Flores S et al.  ·  Eur J Public Health  ·  04.08.2026  ·  PMID 42790495</w:t>
      </w:r>
    </w:p>
    <w:p>
      <w:r>
        <w:t>Kostenanalyse basierend auf Mikrokosten aus vier Pilotseiten zur Skalierung eines eigenschaftsorientierten Hausbesuchsprogramms für Familien mit Kindern (Zielgruppe n=14.349 Familien/Jahr).</w:t>
      </w:r>
    </w:p>
    <w:p>
      <w:r>
        <w:rPr>
          <w:b/>
        </w:rPr>
        <w:t xml:space="preserve">Ergebnis: </w:t>
      </w:r>
      <w:r>
        <w:t>Jahreskosten National Standard: EUR 8,31 Mio., Enhanced Pilot: EUR 11,33 Mio. (Einheit EUR 512–1.128 pro Familie). Regionale Gesundheit trug 70–76% der Kosten, Kommunale Dienste 24–30%, unabhängig vom Liefermodell – Kostenasymmetrie folgt aus Personalbedarf, nicht Modelldesign.</w:t>
      </w:r>
    </w:p>
    <w:p>
      <w:r>
        <w:rPr>
          <w:b/>
          <w:sz w:val="19"/>
        </w:rPr>
        <w:t xml:space="preserve">Übertragbarkeit: </w:t>
      </w:r>
      <w:r>
        <w:rPr>
          <w:sz w:val="19"/>
        </w:rPr>
        <w:t>Schweden, kommunal-steuerfinanziertes System – Finanzierungsmechanismus nicht auf Bismarck-Systeme (Deutschland) übertragbar; Ressourcentrennungsproblem relevant.</w:t>
      </w:r>
    </w:p>
    <w:p>
      <w:r>
        <w:rPr>
          <w:color w:val="5A7D3A"/>
          <w:sz w:val="18"/>
        </w:rPr>
        <w:t>https://pubmed.ncbi.nlm.nih.gov/42790495/</w:t>
      </w:r>
    </w:p>
    <w:p>
      <w:pPr>
        <w:pStyle w:val="Heading2"/>
      </w:pPr>
      <w:r>
        <w:t>Resilienz bei Pflegekräften während und nach COVID-19: prospektive brasilianische Kohortenstudie</w:t>
      </w:r>
    </w:p>
    <w:p>
      <w:r>
        <w:rPr>
          <w:i/>
          <w:color w:val="666666"/>
          <w:sz w:val="18"/>
        </w:rPr>
        <w:t>Olino L et al.  ·  Rev Bras Enferm  ·  21.09.2026  ·  PMID 42788536</w:t>
      </w:r>
    </w:p>
    <w:p>
      <w:r>
        <w:t>Prospektive multizentrische Kohortenstudie mit 163 Pflegekräften aus Krankenhäusern 2020 und 2022 zu Faktoren der beruflichen Resilienz mit Resilienz-am-Arbeitsplatz-Skala und linearer Regression.</w:t>
      </w:r>
    </w:p>
    <w:p>
      <w:r>
        <w:rPr>
          <w:b/>
        </w:rPr>
        <w:t xml:space="preserve">Ergebnis: </w:t>
      </w:r>
      <w:r>
        <w:t>Mittlere Resilienzwerte ähnlich 2020 (73,3±11,1) und 2022 (72,9±11,2). Einflussfaktoren: Alter (+0,27 Punkte/Jahr), weiblich (-10,06 Punkte), psychische Erkrankung (-4,67 Punkte), sehr schlechter Schlaf (-6,1 Punkte), Führungsposition (-13,53 Punkte), COVID-19-Sektor (+6,90 Punkte).</w:t>
      </w:r>
    </w:p>
    <w:p>
      <w:r>
        <w:rPr>
          <w:b/>
          <w:sz w:val="19"/>
        </w:rPr>
        <w:t xml:space="preserve">Übertragbarkeit: </w:t>
      </w:r>
      <w:r>
        <w:rPr>
          <w:sz w:val="19"/>
        </w:rPr>
        <w:t>Brasilien – Vergleichbarkeit begrenzt, aber kategoriale Risiko- und Schutzfaktoren empirisch verwertbar.</w:t>
      </w:r>
    </w:p>
    <w:p>
      <w:r>
        <w:rPr>
          <w:color w:val="5A7D3A"/>
          <w:sz w:val="18"/>
        </w:rPr>
        <w:t>https://pubmed.ncbi.nlm.nih.gov/42788536/</w:t>
      </w:r>
    </w:p>
    <w:p>
      <w:pPr>
        <w:pStyle w:val="Heading2"/>
      </w:pPr>
      <w:r>
        <w:t>Rollentransition von Advanced Practice Nurses in Krankenhäusern: chinesische Grounded-Theory-Studie</w:t>
      </w:r>
    </w:p>
    <w:p>
      <w:r>
        <w:rPr>
          <w:i/>
          <w:color w:val="666666"/>
          <w:sz w:val="18"/>
        </w:rPr>
        <w:t>Tan W et al.  ·  J Nurs Manag  ·  2026  ·  PMID 42788447</w:t>
      </w:r>
    </w:p>
    <w:p>
      <w:r>
        <w:t>Konstruktivistische Grounded-Theory mit 33 APNs (Längsschnitt- und retrospektive Interviews) zu Übergangsprozessen in erweiterte klinische Rollen im Krankenhaus Festlandchina.</w:t>
      </w:r>
    </w:p>
    <w:p>
      <w:r>
        <w:rPr>
          <w:b/>
        </w:rPr>
        <w:t xml:space="preserve">Ergebnis: </w:t>
      </w:r>
      <w:r>
        <w:t>Kernkategorie ‚Common yet Different Journey': vier Übergangsphasen (Rollenkonfusion → Erkundung → Integration → Entwicklung), fünf Trajektorien (sequenziell, Sprung, oszillierend, stagnierend, divergent), die durch individual-, organisational- und gesellschaftliche Bedingungen geprägt wurden. Outcomes: Reife, Stagnation oder Divergenz.</w:t>
      </w:r>
    </w:p>
    <w:p>
      <w:r>
        <w:rPr>
          <w:b/>
          <w:sz w:val="19"/>
        </w:rPr>
        <w:t xml:space="preserve">Übertragbarkeit: </w:t>
      </w:r>
      <w:r>
        <w:rPr>
          <w:sz w:val="19"/>
        </w:rPr>
        <w:t>China – Legal- und Qualifikationssystem fundamental anders; nur empirisches Prozessverständnis übertragbar.</w:t>
      </w:r>
    </w:p>
    <w:p>
      <w:r>
        <w:rPr>
          <w:color w:val="5A7D3A"/>
          <w:sz w:val="18"/>
        </w:rPr>
        <w:t>https://pubmed.ncbi.nlm.nih.gov/42788447/</w:t>
      </w:r>
    </w:p>
    <w:p>
      <w:pPr>
        <w:pStyle w:val="Heading2"/>
      </w:pPr>
      <w:r>
        <w:t>Arbeitsumfeld und Resilienz von Pflegekräften in Pflegeheimen: eine vietnamesische Studie</w:t>
      </w:r>
    </w:p>
    <w:p>
      <w:r>
        <w:rPr>
          <w:i/>
          <w:color w:val="666666"/>
          <w:sz w:val="18"/>
        </w:rPr>
        <w:t>Ngo TT et al.  ·  J Nurs Manag  ·  2026  ·  PMID 42788409</w:t>
      </w:r>
    </w:p>
    <w:p>
      <w:r>
        <w:t>Querschnittsstudie mit 222 Pflegekräften aus sechs Pflegeheimen in Hanoi zu Zusammenhang zwischen Arbeitsumfeld (PES-NWI) und Resilienz mit Pearson-Korrelation.</w:t>
      </w:r>
    </w:p>
    <w:p>
      <w:r>
        <w:rPr>
          <w:b/>
        </w:rPr>
        <w:t xml:space="preserve">Ergebnis: </w:t>
      </w:r>
      <w:r>
        <w:t>Mittlere positive Korrelation zwischen Arbeitsumfeld und Resilienz (r=0,534, p=0,001). Fokus auf Pflegekwalität positiv mit Stressmanagement assoziiert, aber invers mit persönlicher Balance – berufliche Anpassungsfähigkeit und Privatleben in Spannung.</w:t>
      </w:r>
    </w:p>
    <w:p>
      <w:r>
        <w:rPr>
          <w:b/>
          <w:sz w:val="19"/>
        </w:rPr>
        <w:t xml:space="preserve">Übertragbarkeit: </w:t>
      </w:r>
      <w:r>
        <w:rPr>
          <w:sz w:val="19"/>
        </w:rPr>
        <w:t>Vietnam – Kontext erheblich unterschiedlich; nur multidimensionales Resilienzverständnis methodisch verwertbar.</w:t>
      </w:r>
    </w:p>
    <w:p>
      <w:r>
        <w:rPr>
          <w:color w:val="5A7D3A"/>
          <w:sz w:val="18"/>
        </w:rPr>
        <w:t>https://pubmed.ncbi.nlm.nih.gov/42788409/</w:t>
      </w:r>
    </w:p>
    <w:p>
      <w:pPr>
        <w:pStyle w:val="Heading2"/>
      </w:pPr>
      <w:r>
        <w:t>Pflegeheimleitung in der Pandemie: Strukturelle Verwundbarkeit und politische Verantwortung</w:t>
      </w:r>
    </w:p>
    <w:p>
      <w:r>
        <w:rPr>
          <w:i/>
          <w:color w:val="666666"/>
          <w:sz w:val="18"/>
        </w:rPr>
        <w:t>Marshall F et al.  ·  Front Public Health  ·  10.09.2026  ·  PMID 42787763</w:t>
      </w:r>
    </w:p>
    <w:p>
      <w:r>
        <w:t>Qualitative Sekundäranalyse von Forschungsevidenzen zur Rolle von Pflegeheimmanagern in England während COVID-19 mit Anwendung systemtheoretischer und sozialen Positionierungsframeworks.</w:t>
      </w:r>
    </w:p>
    <w:p>
      <w:r>
        <w:rPr>
          <w:b/>
        </w:rPr>
        <w:t xml:space="preserve">Ergebnis: </w:t>
      </w:r>
      <w:r>
        <w:t>Fünf übergreifende Themen identifiziert: Liminalität (Grenzmacht), Verantwortungsdiffusion, Erosion von Rechten, Informationsasymmetrien und zeitliche Misalignments. Manager mussten widersprüchliche Direktiven mit begrenzter Autorität und unzureichender Unterstützung umsetzen, was Risiken für Personal und Bewohner amplifizierten.</w:t>
      </w:r>
    </w:p>
    <w:p>
      <w:r>
        <w:rPr>
          <w:b/>
          <w:sz w:val="19"/>
        </w:rPr>
        <w:t xml:space="preserve">Übertragbarkeit: </w:t>
      </w:r>
      <w:r>
        <w:rPr>
          <w:sz w:val="19"/>
        </w:rPr>
        <w:t>England, Pflegeheimstruktur – strukturelle Befunde zu Managerposition übertragbar; Details systemabhängig.</w:t>
      </w:r>
    </w:p>
    <w:p>
      <w:r>
        <w:rPr>
          <w:color w:val="5A7D3A"/>
          <w:sz w:val="18"/>
        </w:rPr>
        <w:t>https://pubmed.ncbi.nlm.nih.gov/42787763/</w:t>
      </w:r>
    </w:p>
    <w:p>
      <w:pPr>
        <w:pStyle w:val="Heading1"/>
      </w:pPr>
      <w:r>
        <w:t>Aufgenommen am 25.09.2026</w:t>
      </w:r>
    </w:p>
    <w:p>
      <w:pPr>
        <w:pStyle w:val="Heading2"/>
      </w:pPr>
      <w:r>
        <w:t>Telegesundheit in Intensivstationen: Krankenpfleger wissen moderat Bescheid, sind optimistisch, üben sich aber noch – Training nötig</w:t>
      </w:r>
    </w:p>
    <w:p>
      <w:r>
        <w:rPr>
          <w:i/>
          <w:color w:val="666666"/>
          <w:sz w:val="18"/>
        </w:rPr>
        <w:t>Shirani M et al.  ·  Appl Nurs Res  ·  08.09.2026  ·  PMID 42785825</w:t>
      </w:r>
    </w:p>
    <w:p>
      <w:r>
        <w:t>Querschnittsstudie mit 267 Intensivpflegekräften im Iran zu Wissen, Haltung und praktischer Umsetzungsbereitschaft zum Einsatz von Telegesundheit.</w:t>
      </w:r>
    </w:p>
    <w:p>
      <w:r>
        <w:rPr>
          <w:b/>
        </w:rPr>
        <w:t xml:space="preserve">Ergebnis: </w:t>
      </w:r>
      <w:r>
        <w:t>Wissen und Haltung lagen auf 0–100-Skalen beide bei Median 54,55, signifikant über Neutralpunkt 50 (p=0,001); praktisches Selbstvertrauen (Median 36,11) lag signifikant darunter (p=0,001). Alter korrelierte mit Wissen und Selbstvertrauen (p=0,01), nicht mit Haltung. Berufserfahrung &lt;10 Jahre zeigte höhere Werte. Signifikante positive Korrelationen zwischen allen drei Domänen (r=0,323–0,481; p=0,008–0,012).</w:t>
      </w:r>
    </w:p>
    <w:p>
      <w:r>
        <w:rPr>
          <w:b/>
          <w:sz w:val="19"/>
        </w:rPr>
        <w:t xml:space="preserve">Übertragbarkeit: </w:t>
      </w:r>
      <w:r>
        <w:rPr>
          <w:sz w:val="19"/>
        </w:rPr>
        <w:t>Iran, aber Struktur des Intensivsystems begrenzt übertragbar</w:t>
      </w:r>
    </w:p>
    <w:p>
      <w:r>
        <w:rPr>
          <w:color w:val="5A7D3A"/>
          <w:sz w:val="18"/>
        </w:rPr>
        <w:t>https://pubmed.ncbi.nlm.nih.gov/42785825/</w:t>
      </w:r>
    </w:p>
    <w:p>
      <w:pPr>
        <w:pStyle w:val="Heading2"/>
      </w:pPr>
      <w:r>
        <w:t>Hybrid-Telemedizin mit Pflegefachperson koordiniert in stabiler Nachsorge nach Nierentransplantation: halbe Besuchsdauer, bessere Lebensqualität</w:t>
      </w:r>
    </w:p>
    <w:p>
      <w:r>
        <w:rPr>
          <w:i/>
          <w:color w:val="666666"/>
          <w:sz w:val="18"/>
        </w:rPr>
        <w:t>Towannang P et al.  ·  Appl Nurs Res  ·  15.09.2026  ·  PMID 42785822</w:t>
      </w:r>
    </w:p>
    <w:p>
      <w:r>
        <w:t>Prospektive Kohortenstudie mit 50 stabilen Nierentransplantationspatienten zu einem Zwei-Schritte-Modell: Krankenschwester-gestützte Vorabklärung mit Laborentnahme, dann ärztliche Videokonsultation.</w:t>
      </w:r>
    </w:p>
    <w:p>
      <w:r>
        <w:rPr>
          <w:b/>
        </w:rPr>
        <w:t xml:space="preserve">Ergebnis: </w:t>
      </w:r>
      <w:r>
        <w:t>Besuchszeit sank um 50 Prozent (12 auf 6 Stunden; p&lt;0,001); Eigenanteile sanken signifikant. Transplantatfunktion und Immunsuppressionskonzentrationen blieben stabil; Komplikationen waren selten (eine akute Abstoßung, eine Harnweginfektion). Gesamtlebensqualität verbesserte sich (60,00 vs. 61,89; p=0,011), Patientenzufriedenheit in allen zehn Dimensionen (p&lt;0,001).</w:t>
      </w:r>
    </w:p>
    <w:p>
      <w:r>
        <w:rPr>
          <w:b/>
          <w:sz w:val="19"/>
        </w:rPr>
        <w:t xml:space="preserve">Übertragbarkeit: </w:t>
      </w:r>
      <w:r>
        <w:rPr>
          <w:sz w:val="19"/>
        </w:rPr>
        <w:t>Thailand, Nachsorgemodell, aber Gesundheitssystem anders strukturiert</w:t>
      </w:r>
    </w:p>
    <w:p>
      <w:r>
        <w:rPr>
          <w:color w:val="5A7D3A"/>
          <w:sz w:val="18"/>
        </w:rPr>
        <w:t>https://pubmed.ncbi.nlm.nih.gov/42785822/</w:t>
      </w:r>
    </w:p>
    <w:p>
      <w:pPr>
        <w:pStyle w:val="Heading2"/>
      </w:pPr>
      <w:r>
        <w:t>Künstliche Intelligenz in der Pflege: Wissenlücken und Vorbehalte bei hoher Akzeptanz – Scoping Review der Bereitschaft von 9.000 Pflegekräften</w:t>
      </w:r>
    </w:p>
    <w:p>
      <w:r>
        <w:rPr>
          <w:i/>
          <w:color w:val="666666"/>
          <w:sz w:val="18"/>
        </w:rPr>
        <w:t>Clement David-Olawade A et al.  ·  Appl Nurs Res  ·  11.08.2026  ·  PMID 42785821</w:t>
      </w:r>
    </w:p>
    <w:p>
      <w:r>
        <w:t>Scoping Review von 33 Studien (29 quantitativ, eins Mixed Methods, drei qualitativ) mit über 9.000 Pflegekräften aus 10 Ländern zu Wissen, Haltungen, Besorgnis und Einsatzbereitschaft für KI-Integration.</w:t>
      </w:r>
    </w:p>
    <w:p>
      <w:r>
        <w:rPr>
          <w:b/>
        </w:rPr>
        <w:t xml:space="preserve">Ergebnis: </w:t>
      </w:r>
      <w:r>
        <w:t>Wissen ist überwiegend niedrig bis moderat; Haltungen positiv, die meisten erkennen Potenzial zur Arbeitsreduktion und Entscheidungsunterstützung an. Sorgen um Jobverlust, Entmenschlichung, Verantwortung und Datenschutz dominieren. Mangelnde Schulung, fehlende Infrastruktur und abwesende Governance sind Barrieren. Positive Haltungen sind keine Implementierungsbereitschaft – strukturierte Bildung und ethisches Governance erforderlich.</w:t>
      </w:r>
    </w:p>
    <w:p>
      <w:r>
        <w:rPr>
          <w:b/>
          <w:sz w:val="19"/>
        </w:rPr>
        <w:t xml:space="preserve">Übertragbarkeit: </w:t>
      </w:r>
      <w:r>
        <w:rPr>
          <w:sz w:val="19"/>
        </w:rPr>
        <w:t>Zehn Länder, Befunde gelten für europäische Systeme, Bedenken universal</w:t>
      </w:r>
    </w:p>
    <w:p>
      <w:r>
        <w:rPr>
          <w:color w:val="5A7D3A"/>
          <w:sz w:val="18"/>
        </w:rPr>
        <w:t>https://pubmed.ncbi.nlm.nih.gov/42785821/</w:t>
      </w:r>
    </w:p>
    <w:p>
      <w:pPr>
        <w:pStyle w:val="Heading2"/>
      </w:pPr>
      <w:r>
        <w:t>Häufige Fehlerquellen in Altenheimen: Kommunikationsmängel, Dokumentationslücken und Personalausfälle treiben Beschwerden</w:t>
      </w:r>
    </w:p>
    <w:p>
      <w:r>
        <w:rPr>
          <w:i/>
          <w:color w:val="666666"/>
          <w:sz w:val="18"/>
        </w:rPr>
        <w:t>Mowat R et al.  ·  N Z Med J  ·  25.09.2026  ·  PMID 42784820</w:t>
      </w:r>
    </w:p>
    <w:p>
      <w:r>
        <w:t>Multiple-Case-Study mit 24 formalen Beschwerdeverfahren gegen Altenheime in Neuseeland (2007–2021) zu systematischen Auslösern von Patientenschäden.</w:t>
      </w:r>
    </w:p>
    <w:p>
      <w:r>
        <w:rPr>
          <w:b/>
        </w:rPr>
        <w:t xml:space="preserve">Ergebnis: </w:t>
      </w:r>
      <w:r>
        <w:t>Vier Themen traten wiederholt auf: (1) Kommunikationsmängel, (2) Dokumentationslücken, (3) Abweichungen zwischen Richtlinien und Umsetzung, (4) Personalausfälle und unzureichender Qualifikationsmix. Analyse zeigt, dass präventive Investitionen in Systemansätze (z. B. Systems Engineering Initiative for Patient Safety) wirksamer sind als Einzelverantwortlichkeit.</w:t>
      </w:r>
    </w:p>
    <w:p>
      <w:r>
        <w:rPr>
          <w:b/>
          <w:sz w:val="19"/>
        </w:rPr>
        <w:t xml:space="preserve">Übertragbarkeit: </w:t>
      </w:r>
      <w:r>
        <w:rPr>
          <w:sz w:val="19"/>
        </w:rPr>
        <w:t>Neuseeland, aber Systemfehler in Altenheimen sind international übergreifend</w:t>
      </w:r>
    </w:p>
    <w:p>
      <w:r>
        <w:rPr>
          <w:color w:val="5A7D3A"/>
          <w:sz w:val="18"/>
        </w:rPr>
        <w:t>https://pubmed.ncbi.nlm.nih.gov/42784820/</w:t>
      </w:r>
    </w:p>
    <w:p>
      <w:pPr>
        <w:pStyle w:val="Heading2"/>
      </w:pPr>
      <w:r>
        <w:t>Kommunikationshaltungen von Pflegekräften sind Folge von Burnout, nicht Ursache – Stress und Ressourcen stehen vorn</w:t>
      </w:r>
    </w:p>
    <w:p>
      <w:r>
        <w:rPr>
          <w:i/>
          <w:color w:val="666666"/>
          <w:sz w:val="18"/>
        </w:rPr>
        <w:t>Giménez-Espert MDC et al.  ·  PLoS One  ·  24.09.2026  ·  PMID 42784579</w:t>
      </w:r>
    </w:p>
    <w:p>
      <w:r>
        <w:t>Querschnittsuntersuchung mit 193 Pflegekräften aus vier spanischen Krankenhäusern mit Strukturgleichungsmodellierung zu Rolle von Kommunikationshaltung im Stress-Burnout-Prozess.</w:t>
      </w:r>
    </w:p>
    <w:p>
      <w:r>
        <w:rPr>
          <w:b/>
        </w:rPr>
        <w:t xml:space="preserve">Ergebnis: </w:t>
      </w:r>
      <w:r>
        <w:t>Kommunikationshaltungen beeinflussten Burnout nicht und waren kein Mediator. Sie waren Folge von Burnout, das durch Unausgewogenheit zwischen Jobressourcen und -anforderungen verursacht wurde. Wenn Pflegekräfte unter schlechten Bedingungen leiden, verschlechtern sich ihre Kommunikationshaltungen gegenüber Patienten – eine Wirkung, nicht eine Ursache.</w:t>
      </w:r>
    </w:p>
    <w:p>
      <w:r>
        <w:rPr>
          <w:b/>
          <w:sz w:val="19"/>
        </w:rPr>
        <w:t xml:space="preserve">Übertragbarkeit: </w:t>
      </w:r>
      <w:r>
        <w:rPr>
          <w:sz w:val="19"/>
        </w:rPr>
        <w:t>Spanien, europäisches Gesundheitssystem, Stressmodelle universell</w:t>
      </w:r>
    </w:p>
    <w:p>
      <w:r>
        <w:rPr>
          <w:color w:val="5A7D3A"/>
          <w:sz w:val="18"/>
        </w:rPr>
        <w:t>https://pubmed.ncbi.nlm.nih.gov/42784579/</w:t>
      </w:r>
    </w:p>
    <w:p>
      <w:pPr>
        <w:pStyle w:val="Heading2"/>
      </w:pPr>
      <w:r>
        <w:t>Schmerzmanagement in Schweizer Pflegeheimen: gemischte Methoden zu Praxis und Interprofessionalität</w:t>
      </w:r>
    </w:p>
    <w:p>
      <w:r>
        <w:rPr>
          <w:i/>
          <w:color w:val="666666"/>
          <w:sz w:val="18"/>
        </w:rPr>
        <w:t>Macé F et al.  ·  Swiss Med Wkly  ·  28.08.2026  ·  PMID 42781754</w:t>
      </w:r>
    </w:p>
    <w:p>
      <w:r>
        <w:t>Beobachtungsstudie in 124 Schweizer Pflegeheimen zur Versorgungspraxis bei chronischen nicht-tumorbedingten Schmerzen.</w:t>
      </w:r>
    </w:p>
    <w:p>
      <w:r>
        <w:rPr>
          <w:b/>
        </w:rPr>
        <w:t xml:space="preserve">Ergebnis: </w:t>
      </w:r>
      <w:r>
        <w:t>Pflegefachpersonen und Ärzte nutzen gemischte Schmerzerfassung, nicht-medikamentöse Maßnahmen (Physiotherapie, psychologische Unterstützung) und Opioide als Reserve. Interprofessionelle Zusammenarbeit wird von den meisten als gut bis sehr gut beurteilt, die Apothekerrolle bleibt limitiert. Barrieren sind Zeitmangel, Fachkompetenzlücken bei Pflegenden und Patientenzurückhaltung. Unterschiedliche Analgetika-Praktiken zwischen den Heimen beobachtet.</w:t>
      </w:r>
    </w:p>
    <w:p>
      <w:r>
        <w:rPr>
          <w:b/>
          <w:sz w:val="19"/>
        </w:rPr>
        <w:t xml:space="preserve">Übertragbarkeit: </w:t>
      </w:r>
      <w:r>
        <w:rPr>
          <w:sz w:val="19"/>
        </w:rPr>
        <w:t>Schweiz, vergleichbares Versicherungssystem und Pflegeverständnis</w:t>
      </w:r>
    </w:p>
    <w:p>
      <w:r>
        <w:rPr>
          <w:color w:val="5A7D3A"/>
          <w:sz w:val="18"/>
        </w:rPr>
        <w:t>https://pubmed.ncbi.nlm.nih.gov/42781754/</w:t>
      </w:r>
    </w:p>
    <w:p>
      <w:pPr>
        <w:pStyle w:val="Heading2"/>
      </w:pPr>
      <w:r>
        <w:t>Pflegepersonalausstattung und Dekubitusprophylaxe auf der Intensivstation: Stunden pro Patient und Patientenaufkommen senken Druckgeschwür-Tage um 9 bis 19 Prozent</w:t>
      </w:r>
    </w:p>
    <w:p>
      <w:r>
        <w:rPr>
          <w:i/>
          <w:color w:val="666666"/>
          <w:sz w:val="18"/>
        </w:rPr>
        <w:t>Wieczorek-Wójcik B et al.  ·  Front Public Health  ·  09.09.2026  ·  PMID 42780981</w:t>
      </w:r>
    </w:p>
    <w:p>
      <w:r>
        <w:t>Retrospektive Kohortenstudie mit 1.461 Intensivstationstagen 2019–2022 zum Zusammenhang zwischen Personalbemessung, Arbeitsbelastung und nosokomialen Dekubitus.</w:t>
      </w:r>
    </w:p>
    <w:p>
      <w:r>
        <w:rPr>
          <w:b/>
        </w:rPr>
        <w:t xml:space="preserve">Ergebnis: </w:t>
      </w:r>
      <w:r>
        <w:t>Jede zusätzliche Pflegestunde pro Patient pro Tag senkt die Odds für Dekubitus-Tage um 9 Prozent (OR 0,91; 95%-KI 0,83–1,00; p=0,035). Jeder weitere Patient erhöht die Odds um 19 Prozent (OR 1,19; 95%-KI 1,01–1,40; p=0,047). Qualifikationsstruktur und Pflegeaufwendungen waren nicht signifikant assoziiert. Ausreichende Personalausstattung trägt zu weniger vermeidbaren Schäden bei.</w:t>
      </w:r>
    </w:p>
    <w:p>
      <w:r>
        <w:rPr>
          <w:b/>
          <w:sz w:val="19"/>
        </w:rPr>
        <w:t xml:space="preserve">Übertragbarkeit: </w:t>
      </w:r>
      <w:r>
        <w:rPr>
          <w:sz w:val="19"/>
        </w:rPr>
        <w:t>Polen, europäische Intensivversorgung, Dokumentation vergleichbar</w:t>
      </w:r>
    </w:p>
    <w:p>
      <w:r>
        <w:rPr>
          <w:color w:val="5A7D3A"/>
          <w:sz w:val="18"/>
        </w:rPr>
        <w:t>https://pubmed.ncbi.nlm.nih.gov/42780981/</w:t>
      </w:r>
    </w:p>
    <w:p>
      <w:pPr>
        <w:pStyle w:val="Heading1"/>
      </w:pPr>
      <w:r>
        <w:t>Aufgenommen am 24.09.2026</w:t>
      </w:r>
    </w:p>
    <w:p>
      <w:pPr>
        <w:pStyle w:val="Heading2"/>
      </w:pPr>
      <w:r>
        <w:t>Online-Schulung für Palliativpflege in Gesundheitszentren: Wirkung auf Wissen und Praxissicherheit</w:t>
      </w:r>
    </w:p>
    <w:p>
      <w:r>
        <w:rPr>
          <w:i/>
          <w:color w:val="666666"/>
          <w:sz w:val="18"/>
        </w:rPr>
        <w:t>Kristanti MS et al.  ·  Int J Palliat Nurs  ·  02.09.2026  ·  PMID 42776919</w:t>
      </w:r>
    </w:p>
    <w:p>
      <w:r>
        <w:t>Randomisierte kontrollierte Studie (61 indonesische Pflegekräfte aus Gesundheitszentren, Intervention vs. Kontrolle) zu Online-Palliativpflege-Kursen mit Meetings vs. nur E-Module.</w:t>
      </w:r>
    </w:p>
    <w:p>
      <w:r>
        <w:rPr>
          <w:b/>
        </w:rPr>
        <w:t xml:space="preserve">Ergebnis: </w:t>
      </w:r>
      <w:r>
        <w:t>Kontrollgruppe hatte höhere Wissenswerte nach 8 Wochen. Wahrgenommene Schwierigkeit war unmittelbar post-Intervention in der Interventionsgruppe signifikant niedriger (keine Zahlen genannt). Keine signifikanten Unterschiede in Praxiswahrnehmung. SPARK-Programm reduzierte subjektive Schwierigkeit bei Implementierung.</w:t>
      </w:r>
    </w:p>
    <w:p>
      <w:r>
        <w:rPr>
          <w:b/>
          <w:sz w:val="19"/>
        </w:rPr>
        <w:t xml:space="preserve">Übertragbarkeit: </w:t>
      </w:r>
      <w:r>
        <w:rPr>
          <w:sz w:val="19"/>
        </w:rPr>
        <w:t>Indonesien mit Ressourcenlimitationen; Modell für Länder ohne Fachaccessibilität adaptierbar.</w:t>
      </w:r>
    </w:p>
    <w:p>
      <w:r>
        <w:rPr>
          <w:color w:val="5A7D3A"/>
          <w:sz w:val="18"/>
        </w:rPr>
        <w:t>https://pubmed.ncbi.nlm.nih.gov/42776919/</w:t>
      </w:r>
    </w:p>
    <w:p>
      <w:pPr>
        <w:pStyle w:val="Heading2"/>
      </w:pPr>
      <w:r>
        <w:t>Herzinsuffizienzpflege und Palliativversorgung: Was Pflegekräfte brauchen und welche Hürden existieren</w:t>
      </w:r>
    </w:p>
    <w:p>
      <w:r>
        <w:rPr>
          <w:i/>
          <w:color w:val="666666"/>
          <w:sz w:val="18"/>
        </w:rPr>
        <w:t>McMullan E et al.  ·  Int J Palliat Nurs  ·  02.09.2026  ·  PMID 42776918</w:t>
      </w:r>
    </w:p>
    <w:p>
      <w:r>
        <w:t>Qualitative Studie (semistrukturierte Interviews mit Herzinsuffizienz-Pflegekräften in Nordirland) zu deren Rollen bei Palliativversorgung und Barrieren.</w:t>
      </w:r>
    </w:p>
    <w:p>
      <w:r>
        <w:rPr>
          <w:b/>
        </w:rPr>
        <w:t xml:space="preserve">Ergebnis: </w:t>
      </w:r>
      <w:r>
        <w:t>Drei Themen: Advance Care Planning als Rolle der Herzinsuffizienzpflege; Herausforderungen/Barrieren (mangelnde Systemressourcen, fehlende Spezialisierung); positive Wirkung von Training und Collaboration. Pflegekräfte berichten Mindset-Shift: Palliativpflege zunächst außerhalb ihres Auftrags, jetzt zentral – durch Schulung ermöglicht.</w:t>
      </w:r>
    </w:p>
    <w:p>
      <w:r>
        <w:rPr>
          <w:b/>
          <w:sz w:val="19"/>
        </w:rPr>
        <w:t xml:space="preserve">Übertragbarkeit: </w:t>
      </w:r>
      <w:r>
        <w:rPr>
          <w:sz w:val="19"/>
        </w:rPr>
        <w:t>UK-System; aber Koordinationsbedarf zwischen Kardiologie und Palliativmedizin universal wichtig.</w:t>
      </w:r>
    </w:p>
    <w:p>
      <w:r>
        <w:rPr>
          <w:color w:val="5A7D3A"/>
          <w:sz w:val="18"/>
        </w:rPr>
        <w:t>https://pubmed.ncbi.nlm.nih.gov/42776918/</w:t>
      </w:r>
    </w:p>
    <w:p>
      <w:pPr>
        <w:pStyle w:val="Heading2"/>
      </w:pPr>
      <w:r>
        <w:t>Arbeitsplatzattraktivität in der Gemeindefplege: Autonomie, Kompetenzen und Zugehörigkeit fördern</w:t>
      </w:r>
    </w:p>
    <w:p>
      <w:r>
        <w:rPr>
          <w:i/>
          <w:color w:val="666666"/>
          <w:sz w:val="18"/>
        </w:rPr>
        <w:t>Feichtinger C et al.  ·  J Nurs Manag  ·  2026  ·  PMID 42773814</w:t>
      </w:r>
    </w:p>
    <w:p>
      <w:r>
        <w:t>Qualitative Studie (15 Interviews) zu Motivationen für den Verbleib in österreichischem Community Nursing mit Fokus auf psychologische Grundbedürfnisse der Pflegenden.</w:t>
      </w:r>
    </w:p>
    <w:p>
      <w:r>
        <w:rPr>
          <w:b/>
        </w:rPr>
        <w:t xml:space="preserve">Ergebnis: </w:t>
      </w:r>
      <w:r>
        <w:t>Pflegekräfte zeigten hohe Motivation, wenn ihre Bedürfnisse nach Autonomie (flexible Schichtpläne, unabhängige Entscheidungsfindung), Kompetenz (vielfältige Aufgaben, Weiterbildung) und Zugehörigkeit (lokale Netzwerke) erfüllt wurden. Unterbrechung des Pilot-Programms gefährdet Nachhaltigkeit.</w:t>
      </w:r>
    </w:p>
    <w:p>
      <w:r>
        <w:rPr>
          <w:b/>
          <w:sz w:val="19"/>
        </w:rPr>
        <w:t xml:space="preserve">Übertragbarkeit: </w:t>
      </w:r>
      <w:r>
        <w:rPr>
          <w:sz w:val="19"/>
        </w:rPr>
        <w:t>Österreich mit vergleichbarem Pflegversicherungssystem; Gemeindeorientierung übertragbar auf deutsche Prävention.</w:t>
      </w:r>
    </w:p>
    <w:p>
      <w:r>
        <w:rPr>
          <w:color w:val="5A7D3A"/>
          <w:sz w:val="18"/>
        </w:rPr>
        <w:t>https://pubmed.ncbi.nlm.nih.gov/42773814/</w:t>
      </w:r>
    </w:p>
    <w:p>
      <w:pPr>
        <w:pStyle w:val="Heading2"/>
      </w:pPr>
      <w:r>
        <w:t>Interdisziplinäre Teams in der Häuslichen Pflege: Observable Verhaltensweisen für gelingende Zusammenarbeit</w:t>
      </w:r>
    </w:p>
    <w:p>
      <w:r>
        <w:rPr>
          <w:i/>
          <w:color w:val="666666"/>
          <w:sz w:val="18"/>
        </w:rPr>
        <w:t>Bøgeskov BO et al.  ·  Scand J Caring Sci  ·  Sept. 2026  ·  PMID 42773732</w:t>
      </w:r>
    </w:p>
    <w:p>
      <w:r>
        <w:t>Qualitative Beschreibungsstudie (64 strukturierte Beobachtungen, 16 Teams in Dänemark) zu konkreten Verhaltensweisen in funktionierenden Pflegeteams.</w:t>
      </w:r>
    </w:p>
    <w:p>
      <w:r>
        <w:rPr>
          <w:b/>
        </w:rPr>
        <w:t xml:space="preserve">Ergebnis: </w:t>
      </w:r>
      <w:r>
        <w:t>36 beobachtbare Handlungen in vier Kategorien identifiziert: Ziele erfüllen (gemeinsames Verständnis, gemeinsames Problemlösen), Methodik befolgen (Rollenklarheit, Dokumentation), Rahmenbedingungen schaffen (psychologische Sicherheit) und Perspektiven teilen. Markantes Merkmal: offene Fragenstellung förderte Sensemaking und Ko-Kreation statt reiner Informationsaustausch.</w:t>
      </w:r>
    </w:p>
    <w:p>
      <w:r>
        <w:rPr>
          <w:b/>
          <w:sz w:val="19"/>
        </w:rPr>
        <w:t xml:space="preserve">Übertragbarkeit: </w:t>
      </w:r>
      <w:r>
        <w:rPr>
          <w:sz w:val="19"/>
        </w:rPr>
        <w:t>Dänemark mit ähnlichem Versorgungsverständnis; Buurtzorg-Modell in Deutschland adaptiert.</w:t>
      </w:r>
    </w:p>
    <w:p>
      <w:r>
        <w:rPr>
          <w:color w:val="5A7D3A"/>
          <w:sz w:val="18"/>
        </w:rPr>
        <w:t>https://pubmed.ncbi.nlm.nih.gov/42773732/</w:t>
      </w:r>
    </w:p>
    <w:p>
      <w:pPr>
        <w:pStyle w:val="Heading2"/>
      </w:pPr>
      <w:r>
        <w:t>International ausgebildete Pflegekräfte im NHS: Zugehörigkeit bleibt unsicher trotz Nachfrage</w:t>
      </w:r>
    </w:p>
    <w:p>
      <w:r>
        <w:rPr>
          <w:i/>
          <w:color w:val="666666"/>
          <w:sz w:val="18"/>
        </w:rPr>
        <w:t>Nwambo JC et al.  ·  Nurs Inq  ·  Okt. 2026  ·  PMID 42712014</w:t>
      </w:r>
    </w:p>
    <w:p>
      <w:r>
        <w:t>Kritische qualitative Synthese (8 englische Politikdokumente + 17 Studien) zur Paradoxie: NHS braucht international ausgebildete Pflegekräfte kurzfristig, positioniert sie aber als temporär.</w:t>
      </w:r>
    </w:p>
    <w:p>
      <w:r>
        <w:rPr>
          <w:b/>
        </w:rPr>
        <w:t xml:space="preserve">Ergebnis: </w:t>
      </w:r>
      <w:r>
        <w:t>Politische Analyse zeigt: International ausgebildete Pflegekräfte müssen ihre Expertise erst wieder validieren, tragen diesen Reconstructionsprozess allein, und Zugehörigkeit bleibt bedingt. Drei konsistente Muster: Revalidation vor Legitimation, ungleiche Lasten, unsichere Position.</w:t>
      </w:r>
    </w:p>
    <w:p>
      <w:r>
        <w:rPr>
          <w:b/>
          <w:sz w:val="19"/>
        </w:rPr>
        <w:t xml:space="preserve">Übertragbarkeit: </w:t>
      </w:r>
      <w:r>
        <w:rPr>
          <w:sz w:val="19"/>
        </w:rPr>
        <w:t>UK-NHS als Warnung; Unterschied zu Deutschland: Hier ist Anerkennung ausländischer Abschlüsse stärker formalisiert.</w:t>
      </w:r>
    </w:p>
    <w:p>
      <w:r>
        <w:rPr>
          <w:color w:val="5A7D3A"/>
          <w:sz w:val="18"/>
        </w:rPr>
        <w:t>https://pubmed.ncbi.nlm.nih.gov/42712014/</w:t>
      </w:r>
    </w:p>
    <w:p>
      <w:pPr>
        <w:pStyle w:val="Heading2"/>
      </w:pPr>
      <w:r>
        <w:t>Generationen im Nephropflege-Team: Konflikte und Chancen für Wissenstransfer</w:t>
      </w:r>
    </w:p>
    <w:p>
      <w:r>
        <w:rPr>
          <w:i/>
          <w:color w:val="666666"/>
          <w:sz w:val="18"/>
        </w:rPr>
        <w:t>Gazineo D et al.  ·  G Ital Nefrol  ·  31.08.2026  ·  PMID 42701855</w:t>
      </w:r>
    </w:p>
    <w:p>
      <w:r>
        <w:t>Querschnittsstudie (520 italienische Nephrologiepflegekräfte) mit Multidimensional Nursing Generations Questionnaire zu Unterschieden zwischen Generationen.</w:t>
      </w:r>
    </w:p>
    <w:p>
      <w:r>
        <w:rPr>
          <w:b/>
        </w:rPr>
        <w:t xml:space="preserve">Ergebnis: </w:t>
      </w:r>
      <w:r>
        <w:t>Millennials zeigten höchste Intergenerationskonflikte (p&lt;0,001) und größere Änderungsadaptivität (p&lt;0,001); Baby Boomer höhere Patientensicherheits-Perspektiven (p=0,003); Millennials/Gen X größere Arbeitsintention vs. Baby Boomer (p&lt;0,001). Keine Unterschiede in Teamfähigkeit (p=0,199).</w:t>
      </w:r>
    </w:p>
    <w:p>
      <w:r>
        <w:rPr>
          <w:b/>
          <w:sz w:val="19"/>
        </w:rPr>
        <w:t xml:space="preserve">Übertragbarkeit: </w:t>
      </w:r>
      <w:r>
        <w:rPr>
          <w:sz w:val="19"/>
        </w:rPr>
        <w:t>Italien, aber Generationenmuster ähnlich Deutschland; Mentoring und kollegiales Lernen überall relevant.</w:t>
      </w:r>
    </w:p>
    <w:p>
      <w:r>
        <w:rPr>
          <w:color w:val="5A7D3A"/>
          <w:sz w:val="18"/>
        </w:rPr>
        <w:t>https://pubmed.ncbi.nlm.nih.gov/42701855/</w:t>
      </w:r>
    </w:p>
    <w:p>
      <w:pPr>
        <w:pStyle w:val="Heading1"/>
      </w:pPr>
      <w:r>
        <w:t>Aufgenommen am 23.09.2026</w:t>
      </w:r>
    </w:p>
    <w:p>
      <w:pPr>
        <w:pStyle w:val="Heading2"/>
      </w:pPr>
      <w:r>
        <w:t>Schulung von Angehörigen beugt Hautschäden durch Wundauflagen vor: Ergebnisse mit Zahlenwerten</w:t>
      </w:r>
    </w:p>
    <w:p>
      <w:r>
        <w:rPr>
          <w:i/>
          <w:color w:val="666666"/>
          <w:sz w:val="18"/>
        </w:rPr>
        <w:t>Chou SH et al.  ·  Hu Li Za Zhi  ·  Okt. 2026  ·  PMID 42772911</w:t>
      </w:r>
    </w:p>
    <w:p>
      <w:r>
        <w:t>Randomisierte Studie mit 50 Patienten-Angehörigen-Dyaden zur Wirksamkeit einer mehrstufigen Pflegeschulung zur Vermeidung von Hautschäden durch medizinische Klebprodukte bei Patienten mit Kolostoma.</w:t>
      </w:r>
    </w:p>
    <w:p>
      <w:r>
        <w:rPr>
          <w:b/>
        </w:rPr>
        <w:t xml:space="preserve">Ergebnis: </w:t>
      </w:r>
      <w:r>
        <w:t>Nach Intervention zeigte die Schulungsgruppe deutlich besseres Wissen zur Hautschutzprävention (B = 1,23–1,68 an allen Zeitpunkten), höhere Selbstwirksamkeit (B = 4,07–4,83) und bessere Pflegeverhalten (B = -5,09 bis -4,59) als Kontrolle (alle p &lt; 0,05). Hautbarriere und Hautschäden unterschieden sich nicht signifikant, deuten aber auf Trend hin.</w:t>
      </w:r>
    </w:p>
    <w:p>
      <w:r>
        <w:rPr>
          <w:b/>
          <w:sz w:val="19"/>
        </w:rPr>
        <w:t xml:space="preserve">Übertragbarkeit: </w:t>
      </w:r>
      <w:r>
        <w:rPr>
          <w:sz w:val="19"/>
        </w:rPr>
        <w:t>Taiwan, randomisiert – Schulungseffekt ist übertragbar, Material lokal anpassen</w:t>
      </w:r>
    </w:p>
    <w:p>
      <w:r>
        <w:rPr>
          <w:color w:val="5A7D3A"/>
          <w:sz w:val="18"/>
        </w:rPr>
        <w:t>https://pubmed.ncbi.nlm.nih.gov/42772911/</w:t>
      </w:r>
    </w:p>
    <w:p>
      <w:pPr>
        <w:pStyle w:val="Heading2"/>
      </w:pPr>
      <w:r>
        <w:t>Männliche Pflegestudenten: Geschlechterrollen, Ablehnung, Strategien zur Bewältigung</w:t>
      </w:r>
    </w:p>
    <w:p>
      <w:r>
        <w:rPr>
          <w:i/>
          <w:color w:val="666666"/>
          <w:sz w:val="18"/>
        </w:rPr>
        <w:t>Lee LH et al.  ·  Hu Li Za Zhi  ·  Okt. 2026  ·  PMID 42772906</w:t>
      </w:r>
    </w:p>
    <w:p>
      <w:r>
        <w:t>Narrative Übersicht zur Situation von männlichen Pflegestudenten in Taiwan: Geschlechterstereotypen, fehlende Vorbilder, Ablehnung bei intimer Pflege und deren psychosoziale Folgen.</w:t>
      </w:r>
    </w:p>
    <w:p>
      <w:r>
        <w:rPr>
          <w:b/>
        </w:rPr>
        <w:t xml:space="preserve">Ergebnis: </w:t>
      </w:r>
      <w:r>
        <w:t>Männliche Pflegestudenten berichten Mangel an männlichen Rollenvorbildern, traditionelle Erwartungshaltung von Patienten und Angehörigen insbesondere bei intimen Pflegetätigkeiten, was zu Verunsicherung und Identitätskonflikten führt. Empfohlene Gegenmaßnahmen: Professionalisierung des Selbstverständnisses, Mentoring, Rollenmodelle in der Ausbildung, unterstützende Lernumgebung in der Klinik.</w:t>
      </w:r>
    </w:p>
    <w:p>
      <w:r>
        <w:rPr>
          <w:b/>
          <w:sz w:val="19"/>
        </w:rPr>
        <w:t xml:space="preserve">Übertragbarkeit: </w:t>
      </w:r>
      <w:r>
        <w:rPr>
          <w:sz w:val="19"/>
        </w:rPr>
        <w:t>Taiwan – Geschlechteraspekt in Pflege ist kulturübergreifend relevant, Details lokal spezifisch</w:t>
      </w:r>
    </w:p>
    <w:p>
      <w:r>
        <w:rPr>
          <w:color w:val="5A7D3A"/>
          <w:sz w:val="18"/>
        </w:rPr>
        <w:t>https://pubmed.ncbi.nlm.nih.gov/42772906/</w:t>
      </w:r>
    </w:p>
    <w:p>
      <w:pPr>
        <w:pStyle w:val="Heading2"/>
      </w:pPr>
      <w:r>
        <w:t>Rückenschmerzen bei pflegenden Angehörigen: Häufigkeit und Zusammenhang mit Pflegeanforderungen</w:t>
      </w:r>
    </w:p>
    <w:p>
      <w:r>
        <w:rPr>
          <w:i/>
          <w:color w:val="666666"/>
          <w:sz w:val="18"/>
        </w:rPr>
        <w:t>Sun YJ et al.  ·  Nurs Open  ·  Sept. 2026  ·  PMID 42771844</w:t>
      </w:r>
    </w:p>
    <w:p>
      <w:r>
        <w:t>Querschnittsstudie mit 209 pflegenden Angehörigen von Menschen mit Behinderungen in China zur Vorbeugung von Rückenschmerzen durch sichere Bewegungsabläufe.</w:t>
      </w:r>
    </w:p>
    <w:p>
      <w:r>
        <w:rPr>
          <w:b/>
        </w:rPr>
        <w:t xml:space="preserve">Ergebnis: </w:t>
      </w:r>
      <w:r>
        <w:t>56 % (117/209) der Angehörigen berichteten Rückenschmerzen. Risikofaktoren: mehr als 3 Positionswechsel täglich (aOR 3,44; 95%-KI 1,28–9,27), mindestens 8 Wechsel täglich (aOR 4,82; 95%-KI 1,98–11,71), jedes zusätzliche Betreuungsjahr (aOR 1,12 pro Jahr). Sichere Bewegungstechniken und soziale Unterstützung reduzierten das Risiko (aOR 0,25 bzw. 0,95).</w:t>
      </w:r>
    </w:p>
    <w:p>
      <w:r>
        <w:rPr>
          <w:b/>
          <w:sz w:val="19"/>
        </w:rPr>
        <w:t xml:space="preserve">Übertragbarkeit: </w:t>
      </w:r>
      <w:r>
        <w:rPr>
          <w:sz w:val="19"/>
        </w:rPr>
        <w:t>China, Querschnitt – Befunde zu Rückenschmerz gelten systemübergreifend</w:t>
      </w:r>
    </w:p>
    <w:p>
      <w:r>
        <w:rPr>
          <w:color w:val="5A7D3A"/>
          <w:sz w:val="18"/>
        </w:rPr>
        <w:t>https://pubmed.ncbi.nlm.nih.gov/42771844/</w:t>
      </w:r>
    </w:p>
    <w:p>
      <w:pPr>
        <w:pStyle w:val="Heading2"/>
      </w:pPr>
      <w:r>
        <w:t>Chronische Ödembildung bei älteren Menschen: Häufigkeit und Versorgungslücken im Heim</w:t>
      </w:r>
    </w:p>
    <w:p>
      <w:r>
        <w:rPr>
          <w:i/>
          <w:color w:val="666666"/>
          <w:sz w:val="18"/>
        </w:rPr>
        <w:t>O'connor M et al.  ·  Age Ageing  ·  04.09.2026  ·  PMID 42771782</w:t>
      </w:r>
    </w:p>
    <w:p>
      <w:r>
        <w:t>Systematischer Review von 16 Studien (14 ambulant, 2 stationär) zur Häufigkeit und Risikofaktoren chronischer Unterschenkelödeme bei über 60-Jährigen.</w:t>
      </w:r>
    </w:p>
    <w:p>
      <w:r>
        <w:rPr>
          <w:b/>
        </w:rPr>
        <w:t xml:space="preserve">Ergebnis: </w:t>
      </w:r>
      <w:r>
        <w:t>Prävalenz im ambulanten Bereich 22,7–26,4 %, in Heimen bis 27,5 %. Starker Zusammenhang mit Diabetes, Herzerkrankung, Adipositas, Zellulitis und Wunden. Methodische Heterogenität und unvollständige Aktuelle Daten zur Versorgung limitieren Evidenz, zeigen aber hohen Screening-Bedarf in beiden Settings.</w:t>
      </w:r>
    </w:p>
    <w:p>
      <w:r>
        <w:rPr>
          <w:b/>
          <w:sz w:val="19"/>
        </w:rPr>
        <w:t xml:space="preserve">Übertragbarkeit: </w:t>
      </w:r>
      <w:r>
        <w:rPr>
          <w:sz w:val="19"/>
        </w:rPr>
        <w:t>Australien, systematischer Review – Prävalenzzahlen auch für deutsche Heime bedeutsam</w:t>
      </w:r>
    </w:p>
    <w:p>
      <w:r>
        <w:rPr>
          <w:color w:val="5A7D3A"/>
          <w:sz w:val="18"/>
        </w:rPr>
        <w:t>https://pubmed.ncbi.nlm.nih.gov/42771782/</w:t>
      </w:r>
    </w:p>
    <w:p>
      <w:pPr>
        <w:pStyle w:val="Heading2"/>
      </w:pPr>
      <w:r>
        <w:t>Psychologische Sicherheit und ihre Auswirkung auf Überarbeitung – Pflegen unter Dauerdruck</w:t>
      </w:r>
    </w:p>
    <w:p>
      <w:r>
        <w:rPr>
          <w:i/>
          <w:color w:val="666666"/>
          <w:sz w:val="18"/>
        </w:rPr>
        <w:t>Kizilkaya S et al.  ·  J Nurs Manag  ·  2026  ·  PMID 42768759</w:t>
      </w:r>
    </w:p>
    <w:p>
      <w:r>
        <w:t>Befragung von 523 Pflegekräften in türkischen Krankenhäusern zur Frage, wie psychologische Sicherheit am Arbeitsplatz mit dem Risiko überlanger Arbeitszeiten zusammenhängt.</w:t>
      </w:r>
    </w:p>
    <w:p>
      <w:r>
        <w:rPr>
          <w:b/>
        </w:rPr>
        <w:t xml:space="preserve">Ergebnis: </w:t>
      </w:r>
      <w:r>
        <w:t>Psychologische Sicherheit führte zu mehr Übernahme von Patientenerwartungen und zu höherem Burnout-Risiko (indirekte Effekte: 0,170 bis 0,209). Alter gemäßigte diese Beziehung: Der negative Effekt war stärker bei älteren Pflegekräften. Die Ergebnisse legen nahe, dass psychologische Sicherheit ohne Maßnahmen gegen Arbeitsüberlastung nicht ausreicht.</w:t>
      </w:r>
    </w:p>
    <w:p>
      <w:r>
        <w:rPr>
          <w:b/>
          <w:sz w:val="19"/>
        </w:rPr>
        <w:t xml:space="preserve">Übertragbarkeit: </w:t>
      </w:r>
      <w:r>
        <w:rPr>
          <w:sz w:val="19"/>
        </w:rPr>
        <w:t>Türkei, Universitätskrankenhäuser – ähnliche Arbeitsbedingungen wie deutsche Kliniken</w:t>
      </w:r>
    </w:p>
    <w:p>
      <w:r>
        <w:rPr>
          <w:color w:val="5A7D3A"/>
          <w:sz w:val="18"/>
        </w:rPr>
        <w:t>https://pubmed.ncbi.nlm.nih.gov/42768759/</w:t>
      </w:r>
    </w:p>
    <w:p>
      <w:pPr>
        <w:pStyle w:val="Heading2"/>
      </w:pPr>
      <w:r>
        <w:t>Nachhaltige Arbeitsgeschwindigkeit im OP: Was Pflegekräfte wirklich brauchen</w:t>
      </w:r>
    </w:p>
    <w:p>
      <w:r>
        <w:rPr>
          <w:i/>
          <w:color w:val="666666"/>
          <w:sz w:val="18"/>
        </w:rPr>
        <w:t>Eriksson J et al.  ·  Int J Qual Health Care  ·  08.07.2026  ·  PMID 42717439</w:t>
      </w:r>
    </w:p>
    <w:p>
      <w:r>
        <w:t>Qualitative Untersuchung mit 47 Befragten und 24 Interviews in zwei Operationssälen eines schwedischen Universitätskrankenhauses zum Zusammenhang zwischen Arbeitsbedingungen und nachhaltigem Operationstempo.</w:t>
      </w:r>
    </w:p>
    <w:p>
      <w:r>
        <w:rPr>
          <w:b/>
        </w:rPr>
        <w:t xml:space="preserve">Ergebnis: </w:t>
      </w:r>
      <w:r>
        <w:t>Vier Bedingungen unterstützen nachhaltiges Arbeitshandeln: vorhersagbare Arbeitsabläufe, psychologische Sicherheit im Team, Mitsprache mit erkennbarem Mehrwert und Lernstrukturen. Fehlende Bedingungen (kurzfristige Planänderungen, parallele Dokumentation, Tokenismus) führten zu Workarounds und Kündigungsgedanken. Die Ergebnisse zeigen, dass Produktivität nicht Schnelligkeit, sondern stabile Routinen und Autonomie braucht.</w:t>
      </w:r>
    </w:p>
    <w:p>
      <w:r>
        <w:rPr>
          <w:b/>
          <w:sz w:val="19"/>
        </w:rPr>
        <w:t xml:space="preserve">Übertragbarkeit: </w:t>
      </w:r>
      <w:r>
        <w:rPr>
          <w:sz w:val="19"/>
        </w:rPr>
        <w:t>Schweden, Universitätskrankenhaus – übertragbare Organisationsmuster</w:t>
      </w:r>
    </w:p>
    <w:p>
      <w:r>
        <w:rPr>
          <w:color w:val="5A7D3A"/>
          <w:sz w:val="18"/>
        </w:rPr>
        <w:t>https://pubmed.ncbi.nlm.nih.gov/42717439/</w:t>
      </w:r>
    </w:p>
    <w:p>
      <w:pPr>
        <w:pStyle w:val="Heading1"/>
      </w:pPr>
      <w:r>
        <w:t>Aufgenommen am 22.09.2026</w:t>
      </w:r>
    </w:p>
    <w:p>
      <w:pPr>
        <w:pStyle w:val="Heading2"/>
      </w:pPr>
      <w:r>
        <w:t>Simulationsausbildung in der italienischen Pflegeedukation: Scoping Review</w:t>
      </w:r>
    </w:p>
    <w:p>
      <w:r>
        <w:rPr>
          <w:i/>
          <w:color w:val="666666"/>
          <w:sz w:val="18"/>
        </w:rPr>
        <w:t>Masotta V et al.  ·  Assist Inferm Ric  ·  Juli 2026  ·  PMID 42765958</w:t>
      </w:r>
    </w:p>
    <w:p>
      <w:r>
        <w:t>Scoping Review zu 33 italienischen Studien über den Einsatz von Simulation in der Pflegeedukation und -praxis.</w:t>
      </w:r>
    </w:p>
    <w:p>
      <w:r>
        <w:rPr>
          <w:b/>
        </w:rPr>
        <w:t xml:space="preserve">Ergebnis: </w:t>
      </w:r>
      <w:r>
        <w:t>Wissenschaftliche Publikationen stiegen kontinuierlich an mit Höchstwert während COVID-19. Die meisten Studien waren observational und monozentrsch in akademischen Settings. Hochfidelität-Simulation war am häufigsten; digitale, immersive und hybride Technologien unterrepräsentiert. Outcomes adressierten überwiegend Kirkpatricks Stufen 1-2; Transfer in Praxis und Patientenergebnisse selten untersucht.</w:t>
      </w:r>
    </w:p>
    <w:p>
      <w:r>
        <w:rPr>
          <w:b/>
          <w:sz w:val="19"/>
        </w:rPr>
        <w:t xml:space="preserve">Übertragbarkeit: </w:t>
      </w:r>
      <w:r>
        <w:rPr>
          <w:sz w:val="19"/>
        </w:rPr>
        <w:t>Europäisches Hochschulsystem; Implikationen für Curriculumentwicklung übertragbar</w:t>
      </w:r>
    </w:p>
    <w:p>
      <w:r>
        <w:rPr>
          <w:color w:val="5A7D3A"/>
          <w:sz w:val="18"/>
        </w:rPr>
        <w:t>https://pubmed.ncbi.nlm.nih.gov/42765958/</w:t>
      </w:r>
    </w:p>
    <w:p>
      <w:pPr>
        <w:pStyle w:val="Heading2"/>
      </w:pPr>
      <w:r>
        <w:t>Ethische Unsicherheit bei digitalen Technologien: Befunde von Studierenden in drei europäischen Ländern</w:t>
      </w:r>
    </w:p>
    <w:p>
      <w:r>
        <w:rPr>
          <w:i/>
          <w:color w:val="666666"/>
          <w:sz w:val="18"/>
        </w:rPr>
        <w:t>Bayram A et al.  ·  Int Nurs Rev  ·  Sept. 2026  ·  PMID 42765544</w:t>
      </w:r>
    </w:p>
    <w:p>
      <w:r>
        <w:t>Qualitative Studie mit 46 Pflegestudierenden aus Italien, Polen und der Türkei zu ihren Erfahrungen mit digitalen Ethik-Problemen in der klinischen Ausbildung.</w:t>
      </w:r>
    </w:p>
    <w:p>
      <w:r>
        <w:rPr>
          <w:b/>
        </w:rPr>
        <w:t xml:space="preserve">Ergebnis: </w:t>
      </w:r>
      <w:r>
        <w:t>Studierende hatten zwar Bewusstsein für digitale Ethik, begegneten aber ethischen Unsicherheiten bezüglich Patientenzustimmung, Datenzugriff, -speicherung und -weitergabe. Verletzungen der digitalen Ethik wurden auf Ausbildungsdruck, unzureichende Schulung, Nutzung privater Geräte und Vorbildfunktion von Mentoren zurückgeführt. Handlungsbedarf bei strukturierter Ethikausbildung und institutionellen Vorgaben.</w:t>
      </w:r>
    </w:p>
    <w:p>
      <w:r>
        <w:rPr>
          <w:b/>
          <w:sz w:val="19"/>
        </w:rPr>
        <w:t xml:space="preserve">Übertragbarkeit: </w:t>
      </w:r>
      <w:r>
        <w:rPr>
          <w:sz w:val="19"/>
        </w:rPr>
        <w:t>Drei europäische Länder, vergleichbare Studienstandards; Befunde zu Schulungslücken relevant</w:t>
      </w:r>
    </w:p>
    <w:p>
      <w:r>
        <w:rPr>
          <w:color w:val="5A7D3A"/>
          <w:sz w:val="18"/>
        </w:rPr>
        <w:t>https://pubmed.ncbi.nlm.nih.gov/42765544/</w:t>
      </w:r>
    </w:p>
    <w:p>
      <w:pPr>
        <w:pStyle w:val="Heading2"/>
      </w:pPr>
      <w:r>
        <w:t>Berufliche Trauer bei Pflegekräften: Effekt auf professionelle Lebensqualität</w:t>
      </w:r>
    </w:p>
    <w:p>
      <w:r>
        <w:rPr>
          <w:i/>
          <w:color w:val="666666"/>
          <w:sz w:val="18"/>
        </w:rPr>
        <w:t>Eryüksel E et al.  ·  Palliat Support Care  ·  21.09.2026  ·  PMID 42764782</w:t>
      </w:r>
    </w:p>
    <w:p>
      <w:r>
        <w:t>Querschnittsstudie mit 176 Pflegekräften in der Türkei, die berufliche Trauer und ihre Beziehung zur Lebensqualität in der Praxis untersuchte.</w:t>
      </w:r>
    </w:p>
    <w:p>
      <w:r>
        <w:rPr>
          <w:b/>
        </w:rPr>
        <w:t xml:space="preserve">Ergebnis: </w:t>
      </w:r>
      <w:r>
        <w:t>Kurzfristige Trauererreaktionen waren moderat, kumulative Effekte überdurchschnittlich. Pflegekräfte mit postgradualer Ausbildung zeigten signifikant höhere kumulative Veränderungen als Bachelor-Absolventen. Kurzzeittrauer korrelierte schwach, kumulative Veränderungen moderat mit Burnout und Compassion Fatigue. Regressionsanalyse: beide Dimensionen von beruflicher Trauer erklärten 30–38% der Varianz in Compassion Fatigue.</w:t>
      </w:r>
    </w:p>
    <w:p>
      <w:r>
        <w:rPr>
          <w:b/>
          <w:sz w:val="19"/>
        </w:rPr>
        <w:t xml:space="preserve">Übertragbarkeit: </w:t>
      </w:r>
      <w:r>
        <w:rPr>
          <w:sz w:val="19"/>
        </w:rPr>
        <w:t>Türkei; Befund zu Trauer und psychischer Belastung in Palliativversorgung universal</w:t>
      </w:r>
    </w:p>
    <w:p>
      <w:r>
        <w:rPr>
          <w:color w:val="5A7D3A"/>
          <w:sz w:val="18"/>
        </w:rPr>
        <w:t>https://pubmed.ncbi.nlm.nih.gov/42764782/</w:t>
      </w:r>
    </w:p>
    <w:p>
      <w:pPr>
        <w:pStyle w:val="Heading2"/>
      </w:pPr>
      <w:r>
        <w:t>Nachtarbeit in der Intensivpflege: Wahrnehmung von chronischer Müdigkeit und kognitiven Beeinträchtigungen</w:t>
      </w:r>
    </w:p>
    <w:p>
      <w:r>
        <w:rPr>
          <w:i/>
          <w:color w:val="666666"/>
          <w:sz w:val="18"/>
        </w:rPr>
        <w:t>Filipović B et al.  ·  Front Public Health  ·  04.09.2026  ·  PMID 42761214</w:t>
      </w:r>
    </w:p>
    <w:p>
      <w:r>
        <w:t>Querschnittsbefragung von 50 Intensivpflegekräften in Kroatien zu ihren Wahrnehmungen der Auswirkungen von Nachtarbeit auf kognitive Funktionen.</w:t>
      </w:r>
    </w:p>
    <w:p>
      <w:r>
        <w:rPr>
          <w:b/>
        </w:rPr>
        <w:t xml:space="preserve">Ergebnis: </w:t>
      </w:r>
      <w:r>
        <w:t>Intensivpflegekräfte beschrieben Nachtarbeit als Risiko für chronische Ermüdung (M=4,86, SD=0,35), Aufmerksamkeitsdefizite (M=4,38, SD=0,73), Beeinträchtigung des Kurzzeitgedächtnisses (M=4,26, SD=0,94) und des Arbeitsgedächtnisses (M=4,22, SD=0,79). Subgruppenunterschiede nach Alter, Geschlecht und Betriebszugehörigkeit überstanden die Korrektur für multiples Testen nicht, deuten aber auf einen Handlungsbedarf hin.</w:t>
      </w:r>
    </w:p>
    <w:p>
      <w:r>
        <w:rPr>
          <w:b/>
          <w:sz w:val="19"/>
        </w:rPr>
        <w:t xml:space="preserve">Übertragbarkeit: </w:t>
      </w:r>
      <w:r>
        <w:rPr>
          <w:sz w:val="19"/>
        </w:rPr>
        <w:t>Europäische Klinikdaten; Befunde zu Sicherheitsrisiken generalisierbar unabhängig von Gesundheitssystem</w:t>
      </w:r>
    </w:p>
    <w:p>
      <w:r>
        <w:rPr>
          <w:color w:val="5A7D3A"/>
          <w:sz w:val="18"/>
        </w:rPr>
        <w:t>https://pubmed.ncbi.nlm.nih.gov/42761214/</w:t>
      </w:r>
    </w:p>
    <w:p>
      <w:pPr>
        <w:pStyle w:val="Heading2"/>
      </w:pPr>
      <w:r>
        <w:t>Übergangsschock und Präsentismus bei Pflegestudierenden: Rolle der Selbstwirksamkeit</w:t>
      </w:r>
    </w:p>
    <w:p>
      <w:r>
        <w:rPr>
          <w:i/>
          <w:color w:val="666666"/>
          <w:sz w:val="18"/>
        </w:rPr>
        <w:t>Jia C et al.  ·  J Nurs Manag  ·  2026  ·  PMID 42760766</w:t>
      </w:r>
    </w:p>
    <w:p>
      <w:r>
        <w:t>Querschnittsstudie mit 421 Pflegestudierenden in China zur Frage, ob Selbstwirksamkeit die Beziehung zwischen Übergangstraumata und Präsentismus (Erscheinen trotz Krankheit) vermittelt.</w:t>
      </w:r>
    </w:p>
    <w:p>
      <w:r>
        <w:rPr>
          <w:b/>
        </w:rPr>
        <w:t xml:space="preserve">Ergebnis: </w:t>
      </w:r>
      <w:r>
        <w:t>Transition Shock und Präsentismus zeigten signifikante positive Korrelation (r=0,646), beide negativ mit Selbstwirksamkeit korreliert (r=−0,576 bzw. r=−0,636). Strukturgleichungsmodell mit gutem Fit. Selbstwirksamkeit mediierte partiell zwischen Shock und Präsentismus (Effekt 0,212, [0,149–0,294], p&lt;0,001), erklärte 29,04% des Gesamteffekts (0,73, p&lt;0,001).</w:t>
      </w:r>
    </w:p>
    <w:p>
      <w:r>
        <w:rPr>
          <w:b/>
          <w:sz w:val="19"/>
        </w:rPr>
        <w:t xml:space="preserve">Übertragbarkeit: </w:t>
      </w:r>
      <w:r>
        <w:rPr>
          <w:sz w:val="19"/>
        </w:rPr>
        <w:t>China; Studienerkenntnis zu psychischen Belastungen und Ausbildungsqualität übertragbar</w:t>
      </w:r>
    </w:p>
    <w:p>
      <w:r>
        <w:rPr>
          <w:color w:val="5A7D3A"/>
          <w:sz w:val="18"/>
        </w:rPr>
        <w:t>https://pubmed.ncbi.nlm.nih.gov/42760766/</w:t>
      </w:r>
    </w:p>
    <w:p>
      <w:pPr>
        <w:pStyle w:val="Heading2"/>
      </w:pPr>
      <w:r>
        <w:t>Notfall-Pflegepfad verkürzt Aufenthaltszeiten bei Traumapatienten: Studie mit Machine Learning</w:t>
      </w:r>
    </w:p>
    <w:p>
      <w:r>
        <w:rPr>
          <w:i/>
          <w:color w:val="666666"/>
          <w:sz w:val="18"/>
        </w:rPr>
        <w:t>Fu Y et al.  ·  Medicine (Baltimore)  ·  18.09.2026  ·  PMID 42760693</w:t>
      </w:r>
    </w:p>
    <w:p>
      <w:r>
        <w:t>Retrospektive Analyse mit 70%-Trainings- und 30%-Validierungskohorte an einem chinesischen Kreiskrankenhaus zum Effekt eines standardisierten Notfall-Pfades auf Aufenthaltsdauer und Risikomodellierung.</w:t>
      </w:r>
    </w:p>
    <w:p>
      <w:r>
        <w:rPr>
          <w:b/>
        </w:rPr>
        <w:t xml:space="preserve">Ergebnis: </w:t>
      </w:r>
      <w:r>
        <w:t>Implementierung eines Notfall-Pfades (ENP) reduzierte signifikant die Aufenthaltszeiten in der Notaufnahme (p&lt;0,05). Machine-Learning-Modell (XgBoost) erreichte gute Diskriminanz (AUC=0,669, 95%-KI 0,632–0,705). Verletzungsschwere und ENP trugen am meisten zur Vorhersage bei, gefolgt von Verletzungsmechanismus, Schweregrad und Ankunftsart.</w:t>
      </w:r>
    </w:p>
    <w:p>
      <w:r>
        <w:rPr>
          <w:b/>
          <w:sz w:val="19"/>
        </w:rPr>
        <w:t xml:space="preserve">Übertragbarkeit: </w:t>
      </w:r>
      <w:r>
        <w:rPr>
          <w:sz w:val="19"/>
        </w:rPr>
        <w:t>China, Primärversorgung; Pfadstandardisierung als Konzept auf andere Systeme übertragbar</w:t>
      </w:r>
    </w:p>
    <w:p>
      <w:r>
        <w:rPr>
          <w:color w:val="5A7D3A"/>
          <w:sz w:val="18"/>
        </w:rPr>
        <w:t>https://pubmed.ncbi.nlm.nih.gov/42760693/</w:t>
      </w:r>
    </w:p>
    <w:p>
      <w:pPr>
        <w:pStyle w:val="Heading1"/>
      </w:pPr>
      <w:r>
        <w:t>Aufgenommen am 21.09.2026</w:t>
      </w:r>
    </w:p>
    <w:p>
      <w:pPr>
        <w:pStyle w:val="Heading2"/>
      </w:pPr>
      <w:r>
        <w:t>Wissen und Praxis zu Herztoxizität bei Brustkrebs: Lücken zwischen Onkologie- und Kardiologie-Pflegenden</w:t>
      </w:r>
    </w:p>
    <w:p>
      <w:r>
        <w:rPr>
          <w:i/>
          <w:color w:val="666666"/>
          <w:sz w:val="18"/>
        </w:rPr>
        <w:t>Aoyagi H et al.  ·  Jpn J Nurs Sci  ·  Okt. 2026  ·  PMID 42764206</w:t>
      </w:r>
    </w:p>
    <w:p>
      <w:r>
        <w:t>Online-Befragung von 261 zertifizierten Pflegespezialisten und -fachkräften in Japan (214 Onkologie, 47 Kardiologie) zu Wissen und pflegerischen Praktiken bei krebstherapie-assoziierter Herzdysfunktion (CTRCD).</w:t>
      </w:r>
    </w:p>
    <w:p>
      <w:r>
        <w:rPr>
          <w:b/>
        </w:rPr>
        <w:t xml:space="preserve">Ergebnis: </w:t>
      </w:r>
      <w:r>
        <w:t>Onkologen- und Kardiologie-Pflegende unterschieden sich signifikant in CTRCD-Wissen (p&lt;0,01). Nur 56,8 % der Onkologen-Pflegenden führten Patientenschulung durch, 63,9 % überwachten Symptome. Nur 10,3 % hatten Zugang zu onko-kardiologischen Fortbildungsangeboten. Kardiologische Pflegende berichteten mehr Anfragen/Konsultationen (p&lt;0,05).</w:t>
      </w:r>
    </w:p>
    <w:p>
      <w:r>
        <w:rPr>
          <w:b/>
          <w:sz w:val="19"/>
        </w:rPr>
        <w:t xml:space="preserve">Übertragbarkeit: </w:t>
      </w:r>
      <w:r>
        <w:rPr>
          <w:sz w:val="19"/>
        </w:rPr>
        <w:t>Japan – anderes Gesundheitssystem; aber Befund zu interprofessionellen Lücken in Versorgung ist transferierbar</w:t>
      </w:r>
    </w:p>
    <w:p>
      <w:r>
        <w:rPr>
          <w:color w:val="5A7D3A"/>
          <w:sz w:val="18"/>
        </w:rPr>
        <w:t>https://pubmed.ncbi.nlm.nih.gov/42764206/</w:t>
      </w:r>
    </w:p>
    <w:p>
      <w:pPr>
        <w:pStyle w:val="Heading2"/>
      </w:pPr>
      <w:r>
        <w:t>Pflegeheimtyp und Bewohnersterblichkeit: Australische Langzeitstudie zu Eigentum und Versorgungsergebnis</w:t>
      </w:r>
    </w:p>
    <w:p>
      <w:r>
        <w:rPr>
          <w:i/>
          <w:color w:val="666666"/>
          <w:sz w:val="18"/>
        </w:rPr>
        <w:t>Rahja M et al.  ·  BMJ Open  ·  20.09.2026  ·  PMID 42764187</w:t>
      </w:r>
    </w:p>
    <w:p>
      <w:r>
        <w:t>Retrospektive Kohortenstudie an 205.079 australischen Pflegeheimbewohnern (65+J.), die die Assoziation zwischen Trägerform (privat, gemeinnützig, staatlich) und Mortalität, Notaufnahmen sowie Krankenhauseinweisungen im ersten Jahr nach Aufnahme untersuchte.</w:t>
      </w:r>
    </w:p>
    <w:p>
      <w:r>
        <w:rPr>
          <w:b/>
        </w:rPr>
        <w:t xml:space="preserve">Ergebnis: </w:t>
      </w:r>
      <w:r>
        <w:t>Bewohner von privaten Heimen in Regionalgebieten hatten höhere Mortalität als in gemeinnützigen Heimen (HR 1,17, KI 1,09–1,26). In staatlichen Heimen waren Notaufnahmen und Krankenhauseinweisungen deutlich seltener (sHR 0,68 bzw. 0,61 gegenüber gemeinnützigen). Unterschiede waren in inneren Regionalgebieten am stärksten ausgeprägt.</w:t>
      </w:r>
    </w:p>
    <w:p>
      <w:r>
        <w:rPr>
          <w:b/>
          <w:sz w:val="19"/>
        </w:rPr>
        <w:t xml:space="preserve">Übertragbarkeit: </w:t>
      </w:r>
      <w:r>
        <w:rPr>
          <w:sz w:val="19"/>
        </w:rPr>
        <w:t>Australische Registerdata; Ergebnisse nicht direkt auf deutsches Gesamtumlagesystem übertragbar, aber relevant für Trägerdebatten</w:t>
      </w:r>
    </w:p>
    <w:p>
      <w:r>
        <w:rPr>
          <w:color w:val="5A7D3A"/>
          <w:sz w:val="18"/>
        </w:rPr>
        <w:t>https://pubmed.ncbi.nlm.nih.gov/42764187/</w:t>
      </w:r>
    </w:p>
    <w:p>
      <w:pPr>
        <w:pStyle w:val="Heading2"/>
      </w:pPr>
      <w:r>
        <w:t>Psychisches Wohlbefinden und Zugehörigkeitsgefühl schützen Pflegende vor stiller Kündigung</w:t>
      </w:r>
    </w:p>
    <w:p>
      <w:r>
        <w:rPr>
          <w:i/>
          <w:color w:val="666666"/>
          <w:sz w:val="18"/>
        </w:rPr>
        <w:t>Yeh SJ et al.  ·  J Nurs Manag  ·  2026  ·  PMID 42760768</w:t>
      </w:r>
    </w:p>
    <w:p>
      <w:r>
        <w:t>Dreiwellen-Befragung von 997 Pflegefachpersonen (multigenerational) über die Mechanismen, über die psychisches Wohlbefinden durch Person-Gruppen-Passung (Person-Group Fit) mit stiller Kündigung verbunden ist (Einschränkung auf Minimum-Leistung im Job).</w:t>
      </w:r>
    </w:p>
    <w:p>
      <w:r>
        <w:rPr>
          <w:b/>
        </w:rPr>
        <w:t xml:space="preserve">Ergebnis: </w:t>
      </w:r>
      <w:r>
        <w:t>Psychisches Wohlbefinden wirkte direkt und indirekt (über Person-Gruppen-Passung) negativ auf stille Kündigung. Generationelle Unterschiede in dieser indirekten Wirkung waren nicht signifikant (Index der moderierten Mediation nicht signifikant). Effektgrößen waren moderat; Effekte sollten vorsichtig interpretiert werden.</w:t>
      </w:r>
    </w:p>
    <w:p>
      <w:r>
        <w:rPr>
          <w:b/>
          <w:sz w:val="19"/>
        </w:rPr>
        <w:t xml:space="preserve">Übertragbarkeit: </w:t>
      </w:r>
      <w:r>
        <w:rPr>
          <w:sz w:val="19"/>
        </w:rPr>
        <w:t>Taiwan (Datengrundlage) – anderes Kontextsystem; aber Befund zu Wellbeing-Messung und Engagement-Problematik relevant</w:t>
      </w:r>
    </w:p>
    <w:p>
      <w:r>
        <w:rPr>
          <w:color w:val="5A7D3A"/>
          <w:sz w:val="18"/>
        </w:rPr>
        <w:t>https://pubmed.ncbi.nlm.nih.gov/42760768/</w:t>
      </w:r>
    </w:p>
    <w:p>
      <w:pPr>
        <w:pStyle w:val="Heading2"/>
      </w:pPr>
      <w:r>
        <w:t>Ästhetik-Schulung für Psychiatrie-Pflegende: Wirkung auf Mitgefühl und Pflegequality</w:t>
      </w:r>
    </w:p>
    <w:p>
      <w:r>
        <w:rPr>
          <w:i/>
          <w:color w:val="666666"/>
          <w:sz w:val="18"/>
        </w:rPr>
        <w:t>Balideh D et al.  ·  Nurs Open  ·  Sept. 2026  ·  PMID 42758937</w:t>
      </w:r>
    </w:p>
    <w:p>
      <w:r>
        <w:t>Quasi-experimentelle Studie mit 90 Psychiatrie-Pflegenden (45 Intervention, 45 Kontrolle), bei der vier wöchentliche 90-Minuten-Module zu Ästhetik der Pflegearbeit deren Mitgefühls-Kompetenz und ästhetische Pflegequalität verändert.</w:t>
      </w:r>
    </w:p>
    <w:p>
      <w:r>
        <w:rPr>
          <w:b/>
        </w:rPr>
        <w:t xml:space="preserve">Ergebnis: </w:t>
      </w:r>
      <w:r>
        <w:t>Interventionsgruppe steigerte mittlere ästhetische Pflegequality von 43,26 (SD 2,18) auf 81,02 (SD 6,26) vs. Kontrolle ohne Änderung (p&lt;0,001). Mitgefühls-Kompetenz stieg in Intervention auf 60,73 (SD 16,17) vs. Kontrolle (p&lt;0,001). Kontrollgruppe zeigte keine Veränderung (p=0,12).</w:t>
      </w:r>
    </w:p>
    <w:p>
      <w:r>
        <w:rPr>
          <w:b/>
          <w:sz w:val="19"/>
        </w:rPr>
        <w:t xml:space="preserve">Übertragbarkeit: </w:t>
      </w:r>
      <w:r>
        <w:rPr>
          <w:sz w:val="19"/>
        </w:rPr>
        <w:t>Iran – Universitätskrankenhaus; Transferierbarkeit der Schulungsmaßnahmen begrenzt</w:t>
      </w:r>
    </w:p>
    <w:p>
      <w:r>
        <w:rPr>
          <w:color w:val="5A7D3A"/>
          <w:sz w:val="18"/>
        </w:rPr>
        <w:t>https://pubmed.ncbi.nlm.nih.gov/42758937/</w:t>
      </w:r>
    </w:p>
    <w:p>
      <w:pPr>
        <w:pStyle w:val="Heading2"/>
      </w:pPr>
      <w:r>
        <w:t>Umfassende Pflegeinterventionen bei Adenomyose: Wirkung auf Schmerz und Lebensqualität</w:t>
      </w:r>
    </w:p>
    <w:p>
      <w:r>
        <w:rPr>
          <w:i/>
          <w:color w:val="666666"/>
          <w:sz w:val="18"/>
        </w:rPr>
        <w:t>Zhu W et al.  ·  Front Public Health  ·  03.09.2026  ·  PMID 42756955</w:t>
      </w:r>
    </w:p>
    <w:p>
      <w:r>
        <w:t>Prospektive Kohortenstudie mit 120 Frauen nach Hysterektomie wegen Adenomyose, die untersucht, wie zusätzliche pflegerische Interventionen über Routine hinaus Schmerz, Erholung und sexuelle Lebensqualität verändern.</w:t>
      </w:r>
    </w:p>
    <w:p>
      <w:r>
        <w:rPr>
          <w:b/>
        </w:rPr>
        <w:t xml:space="preserve">Ergebnis: </w:t>
      </w:r>
      <w:r>
        <w:t>Frauen mit umfassenden Interventionen hatten niedrigere Schmerzwerte (p&lt;0,05), kürzere Krankenhausaufenthalte, frühere Mobilisierung und signifikant höhere sexuelle Lebensqualität (FSFI) sowie bessere psychische Gesundheit (SAS/SDS). Pflegezufriedenheit war deutlich höher (p&lt;0,05).</w:t>
      </w:r>
    </w:p>
    <w:p>
      <w:r>
        <w:rPr>
          <w:b/>
          <w:sz w:val="19"/>
        </w:rPr>
        <w:t xml:space="preserve">Übertragbarkeit: </w:t>
      </w:r>
      <w:r>
        <w:rPr>
          <w:sz w:val="19"/>
        </w:rPr>
        <w:t>China – Hochschul-Krankenhaus; Vergleichbarkeit der Pflegemaßnahmen gering</w:t>
      </w:r>
    </w:p>
    <w:p>
      <w:r>
        <w:rPr>
          <w:color w:val="5A7D3A"/>
          <w:sz w:val="18"/>
        </w:rPr>
        <w:t>https://pubmed.ncbi.nlm.nih.gov/42756955/</w:t>
      </w:r>
    </w:p>
    <w:p>
      <w:pPr>
        <w:pStyle w:val="Heading2"/>
      </w:pPr>
      <w:r>
        <w:t>Hebammenausbildung: Kompetenzlücken bei Geburtshilfekern-Inhalten und psychische Belastung am Ende des Studiums</w:t>
      </w:r>
    </w:p>
    <w:p>
      <w:r>
        <w:rPr>
          <w:i/>
          <w:color w:val="666666"/>
          <w:sz w:val="18"/>
        </w:rPr>
        <w:t>Søndergaard SR et al.  ·  Sex Reprod Healthc  ·  12.08.2026  ·  PMID 42617203</w:t>
      </w:r>
    </w:p>
    <w:p>
      <w:r>
        <w:t>Befragung von 158 dänischen Hebammen zum Abschluss ihrer Ausbildung über wahrgenommene Kompetenz, Wichtigkeit klinischer Fähigkeiten und Unterstützung durch Lernumgebung; 33,5 % zeigten Risiko für Stress oder Depression nach WHO-5-Score.</w:t>
      </w:r>
    </w:p>
    <w:p>
      <w:r>
        <w:rPr>
          <w:b/>
        </w:rPr>
        <w:t xml:space="preserve">Ergebnis: </w:t>
      </w:r>
      <w:r>
        <w:t>Hebammen bewerteten medizinische Kompetenzen hoch, aber grundlegende Hebammen-Kompetenzen wie flexible Gebärpositionen, nicht-pharmakologische Schmerzlinderung und Dammnaht niedrig – trotz wahrgenommener Wichtigkeit. Wo Kompetenz niedrig bewertet wurde, fehlte oft Unterstützung durch Lernumgebung.</w:t>
      </w:r>
    </w:p>
    <w:p>
      <w:r>
        <w:rPr>
          <w:b/>
          <w:sz w:val="19"/>
        </w:rPr>
        <w:t xml:space="preserve">Übertragbarkeit: </w:t>
      </w:r>
      <w:r>
        <w:rPr>
          <w:sz w:val="19"/>
        </w:rPr>
        <w:t>Dänemark – vergleichbare EU-Hebammenausbildung und -Regelwerk</w:t>
      </w:r>
    </w:p>
    <w:p>
      <w:r>
        <w:rPr>
          <w:color w:val="5A7D3A"/>
          <w:sz w:val="18"/>
        </w:rPr>
        <w:t>https://pubmed.ncbi.nlm.nih.gov/42617203/</w:t>
      </w:r>
    </w:p>
    <w:p>
      <w:pPr>
        <w:pStyle w:val="Heading1"/>
      </w:pPr>
      <w:r>
        <w:t>Aufgenommen am 20.09.2026</w:t>
      </w:r>
    </w:p>
    <w:p>
      <w:pPr>
        <w:pStyle w:val="Heading2"/>
      </w:pPr>
      <w:r>
        <w:t>Workplace-Health-Förderung in der Langzeitpflege: Barrieren und Erfolgsfaktoren bei der Umsetzung</w:t>
      </w:r>
    </w:p>
    <w:p>
      <w:r>
        <w:rPr>
          <w:i/>
          <w:color w:val="666666"/>
          <w:sz w:val="18"/>
        </w:rPr>
        <w:t>Czakert J et al.  ·  Front Public Health  ·  04.09.2026  ·  PMID 42761123</w:t>
      </w:r>
    </w:p>
    <w:p>
      <w:r>
        <w:t>Qualitative Evaluierung der Entwicklung und Implementierung von drei Gesundheitsförderungsworkshops in Langzeitpflegeeinrichtungen in Deutschland mit Fokus auf Hindernisse und Gelingensbedingungen.</w:t>
      </w:r>
    </w:p>
    <w:p>
      <w:r>
        <w:rPr>
          <w:b/>
        </w:rPr>
        <w:t xml:space="preserve">Ergebnis: </w:t>
      </w:r>
      <w:r>
        <w:t>Aktive Teilnahme war zentral: Ein Drittel der Teilnehmenden zeigte aktive Beteiligung, andere Passivität bis Widerstand. Kritische Erfolgsfaktoren waren organisatorische Vorbereitung und motivierende Workshop-Gestaltung; Anpassungen nach der ersten Runde führten zu verbesserter Akzeptanz.</w:t>
      </w:r>
    </w:p>
    <w:p>
      <w:r>
        <w:rPr>
          <w:b/>
          <w:sz w:val="19"/>
        </w:rPr>
        <w:t xml:space="preserve">Übertragbarkeit: </w:t>
      </w:r>
      <w:r>
        <w:rPr>
          <w:sz w:val="19"/>
        </w:rPr>
        <w:t>Deutschland (Charité Berlin), Langzeitpflegeeinrichtungen als Setting</w:t>
      </w:r>
    </w:p>
    <w:p>
      <w:r>
        <w:rPr>
          <w:color w:val="5A7D3A"/>
          <w:sz w:val="18"/>
        </w:rPr>
        <w:t>https://pubmed.ncbi.nlm.nih.gov/42761123/</w:t>
      </w:r>
    </w:p>
    <w:p>
      <w:pPr>
        <w:pStyle w:val="Heading2"/>
      </w:pPr>
      <w:r>
        <w:t>Berufliche Zufriedenheit von Pflegekräften im OP-Dienst: Rolle von Organisationsunterstützung und psychischem Kapital</w:t>
      </w:r>
    </w:p>
    <w:p>
      <w:r>
        <w:rPr>
          <w:i/>
          <w:color w:val="666666"/>
          <w:sz w:val="18"/>
        </w:rPr>
        <w:t>Wang Y et al.  ·  Front Public Health  ·  04.09.2026  ·  PMID 42761087</w:t>
      </w:r>
    </w:p>
    <w:p>
      <w:r>
        <w:t>Querschnittstudie bei 401 Pflegekräften in Operationsabteilungen (CSSD) in China zur Untersuchung indirekter Effekte von wahrgenommener Organisationsunterstützung und psychologischem Kapital auf den Zusammenhang zwischen Jobgestaltung und beruflicher Wohlbefindung.</w:t>
      </w:r>
    </w:p>
    <w:p>
      <w:r>
        <w:rPr>
          <w:b/>
        </w:rPr>
        <w:t xml:space="preserve">Ergebnis: </w:t>
      </w:r>
      <w:r>
        <w:t>Pfadanalyse zeigte schwachen direkten Effekt von Jobgestaltung auf Wohlbefindung (β=0,185), aber erhebliche Gesamteffekt (0,838). Indirekte Assoziationen über Organisationsunterstützung (β=0,511) und psychisches Kapital (β=0,142) waren statistisch signifikant (p&lt;0,001). Frauen und erfahrene Pflegekräfte berichteten niedrigere Wohlbefindungswerte.</w:t>
      </w:r>
    </w:p>
    <w:p>
      <w:r>
        <w:rPr>
          <w:b/>
          <w:sz w:val="19"/>
        </w:rPr>
        <w:t xml:space="preserve">Übertragbarkeit: </w:t>
      </w:r>
      <w:r>
        <w:rPr>
          <w:sz w:val="19"/>
        </w:rPr>
        <w:t>China, aber Befunde zum psychosozialen Kontext der Pflegekräfte gelten universell</w:t>
      </w:r>
    </w:p>
    <w:p>
      <w:r>
        <w:rPr>
          <w:color w:val="5A7D3A"/>
          <w:sz w:val="18"/>
        </w:rPr>
        <w:t>https://pubmed.ncbi.nlm.nih.gov/42761087/</w:t>
      </w:r>
    </w:p>
    <w:p>
      <w:pPr>
        <w:pStyle w:val="Heading2"/>
      </w:pPr>
      <w:r>
        <w:t>Doppelspitze in Pflegeheimen: Neue Führungsstruktur verbessert Rollen und Zufriedenheit</w:t>
      </w:r>
    </w:p>
    <w:p>
      <w:r>
        <w:rPr>
          <w:i/>
          <w:color w:val="666666"/>
          <w:sz w:val="18"/>
        </w:rPr>
        <w:t>Radford K et al.  ·  J Nurs Manag  ·  2026  ·  PMID 42760590</w:t>
      </w:r>
    </w:p>
    <w:p>
      <w:r>
        <w:t>Australische Implementierungsstudie eines Dyad-Leadership-Modells (klinische und administrative Führung gemeinsam) in drei Altenheimen mit Vor-Nachher-Datenerhebung über 6 Monate.</w:t>
      </w:r>
    </w:p>
    <w:p>
      <w:r>
        <w:rPr>
          <w:b/>
        </w:rPr>
        <w:t xml:space="preserve">Ergebnis: </w:t>
      </w:r>
      <w:r>
        <w:t>Nach 6 Monaten: Verbesserte Rollenklarheit, Karriereperspektiven und Wohlbefindung (Interviews). Zufriedenheit mit Kommunikation und Versorgungsqualität stieg. Hospitalisierungen, Vorfälle und Klingel-Reaktionszeiten zeigten keine signifikanten Veränderungen. Einige klinische Mitarbeitende sahen Risiken für Karriereentwicklung.</w:t>
      </w:r>
    </w:p>
    <w:p>
      <w:r>
        <w:rPr>
          <w:b/>
          <w:sz w:val="19"/>
        </w:rPr>
        <w:t xml:space="preserve">Übertragbarkeit: </w:t>
      </w:r>
      <w:r>
        <w:rPr>
          <w:sz w:val="19"/>
        </w:rPr>
        <w:t>Australien, aber Management-Modelle für Langzeitpflege sind teilweise übertragbar</w:t>
      </w:r>
    </w:p>
    <w:p>
      <w:r>
        <w:rPr>
          <w:color w:val="5A7D3A"/>
          <w:sz w:val="18"/>
        </w:rPr>
        <w:t>https://pubmed.ncbi.nlm.nih.gov/42760590/</w:t>
      </w:r>
    </w:p>
    <w:p>
      <w:pPr>
        <w:pStyle w:val="Heading2"/>
      </w:pPr>
      <w:r>
        <w:t>Selbstpflege bei Menschen mit Stoma: Unterschiede zwischen Patienten und pflegenden Angehörigen</w:t>
      </w:r>
    </w:p>
    <w:p>
      <w:r>
        <w:rPr>
          <w:i/>
          <w:color w:val="666666"/>
          <w:sz w:val="18"/>
        </w:rPr>
        <w:t>Magi CE et al.  ·  J Wound Ostomy Continence Nurs  ·  Sept. 2026  ·  PMID 42758163</w:t>
      </w:r>
    </w:p>
    <w:p>
      <w:r>
        <w:t>Querschnittsuntersuchung bei 523 Stomapatientinnen und -patienten und 252 pflegenden Angehörigen aus zwei italienischen Regionen zur Erfassung von Selbstpflege-Engagement und Unterstützung durch Angehörige.</w:t>
      </w:r>
    </w:p>
    <w:p>
      <w:r>
        <w:rPr>
          <w:b/>
        </w:rPr>
        <w:t xml:space="preserve">Ergebnis: </w:t>
      </w:r>
      <w:r>
        <w:t>Patienten und Angehörige zeigten angemessene Selbstpflege-Wartung, aber unzureichendes Selbstmanagement und Sicherheit. Männer schnitten bei einzelnen Items schlechter ab als Frauen; zwischen den Geschlechtern keine signifikanten Unterschiede beim Engagement der Angehörigen. Angehörige bewerteten spezifische Monitoring-Items niedriger als Patienten.</w:t>
      </w:r>
    </w:p>
    <w:p>
      <w:r>
        <w:rPr>
          <w:b/>
          <w:sz w:val="19"/>
        </w:rPr>
        <w:t xml:space="preserve">Übertragbarkeit: </w:t>
      </w:r>
      <w:r>
        <w:rPr>
          <w:sz w:val="19"/>
        </w:rPr>
        <w:t>Italien, vergleichbare Versorgungsstrukturen in südeuropäischen Gesundheitssystemen</w:t>
      </w:r>
    </w:p>
    <w:p>
      <w:r>
        <w:rPr>
          <w:color w:val="5A7D3A"/>
          <w:sz w:val="18"/>
        </w:rPr>
        <w:t>https://pubmed.ncbi.nlm.nih.gov/42758163/</w:t>
      </w:r>
    </w:p>
    <w:p>
      <w:pPr>
        <w:pStyle w:val="Heading2"/>
      </w:pPr>
      <w:r>
        <w:t>Impfschulung für Pflegekräfte: Effektivität für Impfberatung von Eltern</w:t>
      </w:r>
    </w:p>
    <w:p>
      <w:r>
        <w:rPr>
          <w:i/>
          <w:color w:val="666666"/>
          <w:sz w:val="18"/>
        </w:rPr>
        <w:t>Tiryaki Ö  ·  Biomedica  ·  20.08.2026  ·  PMID 42757794</w:t>
      </w:r>
    </w:p>
    <w:p>
      <w:r>
        <w:t>Quasi-experimentelle Studie bei 249 Hebammen und Pflegekräften zur Messung von Veränderungen in Vaccine-Advocacy-Scores vor und nach einer Schulungsintervention.</w:t>
      </w:r>
    </w:p>
    <w:p>
      <w:r>
        <w:rPr>
          <w:b/>
        </w:rPr>
        <w:t xml:space="preserve">Ergebnis: </w:t>
      </w:r>
      <w:r>
        <w:t>Prätraining-Score Vaccine Advocacy Scale: 45,19±2,85; Post-Training: 46,95±1,99 (Wilcoxon p=0,000). Obwohl bereits hohe Ausgangswerte vorlagen, zeigte sich statistisch signifikante Steigerung. Training war wirksam, trotz bereits guter Baseline.</w:t>
      </w:r>
    </w:p>
    <w:p>
      <w:r>
        <w:rPr>
          <w:b/>
          <w:sz w:val="19"/>
        </w:rPr>
        <w:t xml:space="preserve">Übertragbarkeit: </w:t>
      </w:r>
      <w:r>
        <w:rPr>
          <w:sz w:val="19"/>
        </w:rPr>
        <w:t>Türkei, aber Schulungswirksamkeit bei Gesundheitsfachkräften ist kontextunabhängig</w:t>
      </w:r>
    </w:p>
    <w:p>
      <w:r>
        <w:rPr>
          <w:color w:val="5A7D3A"/>
          <w:sz w:val="18"/>
        </w:rPr>
        <w:t>https://pubmed.ncbi.nlm.nih.gov/42757794/</w:t>
      </w:r>
    </w:p>
    <w:p>
      <w:pPr>
        <w:pStyle w:val="Heading1"/>
      </w:pPr>
      <w:r>
        <w:t>Aufgenommen am 19.09.2026</w:t>
      </w:r>
    </w:p>
    <w:p>
      <w:pPr>
        <w:pStyle w:val="Heading2"/>
      </w:pPr>
      <w:r>
        <w:t>Psychologisches Kapital und Resilience bei Burnout von Pflegekräften: Mediatoreffekte</w:t>
      </w:r>
    </w:p>
    <w:p>
      <w:r>
        <w:rPr>
          <w:i/>
          <w:color w:val="666666"/>
          <w:sz w:val="18"/>
        </w:rPr>
        <w:t>Huang C et al.  ·  Front Public Health  ·  03.09.2026  ·  PMID 42756054</w:t>
      </w:r>
    </w:p>
    <w:p>
      <w:r>
        <w:t>Querschnittsstudie mit 273 Pflegekräften zur Untersuchung, wie Resilienz als Subdimension des psychologischen Kapitals die Beziehung zwischen Arbeitsbelastung und Compassion-Fatigue vermittelt.</w:t>
      </w:r>
    </w:p>
    <w:p>
      <w:r>
        <w:rPr>
          <w:b/>
        </w:rPr>
        <w:t xml:space="preserve">Ergebnis: </w:t>
      </w:r>
      <w:r>
        <w:t>Arbeitsbelastung korrelierte positiv mit Compassion-Fatigue (r=0,537, p&lt;0,001). Resilience war der einzige signifikante spezifische indirekte Mediator (Effekt=0,058, 95%-KI: 0,028-0,091). Selbstwirksamkeit, Hoffnung und Optimismus zeigten keine signifikanten indirekten Effekte. Interventionen zur Resilienzstärkung könnten Burnout-Rate senken.</w:t>
      </w:r>
    </w:p>
    <w:p>
      <w:r>
        <w:rPr>
          <w:b/>
          <w:sz w:val="19"/>
        </w:rPr>
        <w:t xml:space="preserve">Übertragbarkeit: </w:t>
      </w:r>
      <w:r>
        <w:rPr>
          <w:sz w:val="19"/>
        </w:rPr>
        <w:t>China (tertiale Universitätsklinik), aber Konstrukt Compassion-Fatigue universell im Pflegealltag</w:t>
      </w:r>
    </w:p>
    <w:p>
      <w:r>
        <w:rPr>
          <w:color w:val="5A7D3A"/>
          <w:sz w:val="18"/>
        </w:rPr>
        <w:t>https://pubmed.ncbi.nlm.nih.gov/42756054/</w:t>
      </w:r>
    </w:p>
    <w:p>
      <w:pPr>
        <w:pStyle w:val="Heading2"/>
      </w:pPr>
      <w:r>
        <w:t>Doll-Therapie in chinesischen Pflegeheimen: Verhaltenssymptome und Funktionsfähigkeit</w:t>
      </w:r>
    </w:p>
    <w:p>
      <w:r>
        <w:rPr>
          <w:i/>
          <w:color w:val="666666"/>
          <w:sz w:val="18"/>
        </w:rPr>
        <w:t>Cui Z et al.  ·  Front Public Health  ·  03.09.2026  ·  PMID 42755894</w:t>
      </w:r>
    </w:p>
    <w:p>
      <w:r>
        <w:t>Qualitative und quantitative Daten aus einem Cluster-RCT zur Effektivität von Doll-Therapie bei Demenzerkrankten in Pflegeheimen in China unter Leitung des Pflegepersonals.</w:t>
      </w:r>
    </w:p>
    <w:p>
      <w:r>
        <w:rPr>
          <w:b/>
        </w:rPr>
        <w:t xml:space="preserve">Ergebnis: </w:t>
      </w:r>
      <w:r>
        <w:t>Neuropsychiatrische Symptome (NPI-12) reduzierten sich in der Interventionsgruppe um 4,40 Punkte nach 12 Wochen (95%-KI: -6,50 bis -2,30); Barthel-Index verbesserte sich um 3,96 Punkte nach 6 Wochen (95%-KI: 1,06 bis 6,86). Durchführungstreue lag bei 95,8% der Teilnehmer; keine schwerwiegenden unerwünschten Ereignisse. Die Intervention zeigte Machbarkeit und vorläufige Wirksamkeit, funktionale Verbesserungen hielten nicht an.</w:t>
      </w:r>
    </w:p>
    <w:p>
      <w:r>
        <w:rPr>
          <w:b/>
          <w:sz w:val="19"/>
        </w:rPr>
        <w:t xml:space="preserve">Übertragbarkeit: </w:t>
      </w:r>
      <w:r>
        <w:rPr>
          <w:sz w:val="19"/>
        </w:rPr>
        <w:t>China-Studie, andere Sozialversicherungslogik und Pflegekontexte</w:t>
      </w:r>
    </w:p>
    <w:p>
      <w:r>
        <w:rPr>
          <w:color w:val="5A7D3A"/>
          <w:sz w:val="18"/>
        </w:rPr>
        <w:t>https://pubmed.ncbi.nlm.nih.gov/42755894/</w:t>
      </w:r>
    </w:p>
    <w:p>
      <w:pPr>
        <w:pStyle w:val="Heading2"/>
      </w:pPr>
      <w:r>
        <w:t>Bewegungsaktivität in Pflegeheimen: Barrieren, Motivation und institutionelle Rahmenbedingungen</w:t>
      </w:r>
    </w:p>
    <w:p>
      <w:r>
        <w:rPr>
          <w:i/>
          <w:color w:val="666666"/>
          <w:sz w:val="18"/>
        </w:rPr>
        <w:t>Kim JA et al.  ·  Front Public Health  ·  03.09.2026  ·  PMID 42755682</w:t>
      </w:r>
    </w:p>
    <w:p>
      <w:r>
        <w:t>Erklärende Sequenzialstudie mit Mixed-Methods bei 254 Heimbewohnern zur Analyse von Häufigkeit, Faktoren und Hindernissen für körperliche Aktivität.</w:t>
      </w:r>
    </w:p>
    <w:p>
      <w:r>
        <w:rPr>
          <w:b/>
        </w:rPr>
        <w:t xml:space="preserve">Ergebnis: </w:t>
      </w:r>
      <w:r>
        <w:t>Einrichtungsgröße (≥30 Betten: reduzierte Teilnahme), Trainingsfrequenz (höher = höhere Teilnahme), wahrgenommene soziale Unterstützung, Schulbildung und Programmdauer (≥30 Min negativ assoziiert) waren signifikant mit Aktivitätsteilnahme verknüpft. Qualitative Analyse zeigte dynamisches Zusammenspiel von persönlicher Bedeutung, Beziehungen und institutionellen Strukturen.</w:t>
      </w:r>
    </w:p>
    <w:p>
      <w:r>
        <w:rPr>
          <w:b/>
          <w:sz w:val="19"/>
        </w:rPr>
        <w:t xml:space="preserve">Übertragbarkeit: </w:t>
      </w:r>
      <w:r>
        <w:rPr>
          <w:sz w:val="19"/>
        </w:rPr>
        <w:t>Südkorea, vergleichbare demografische und organisatorische Herausforderungen in Pflegeheimen</w:t>
      </w:r>
    </w:p>
    <w:p>
      <w:r>
        <w:rPr>
          <w:color w:val="5A7D3A"/>
          <w:sz w:val="18"/>
        </w:rPr>
        <w:t>https://pubmed.ncbi.nlm.nih.gov/42755682/</w:t>
      </w:r>
    </w:p>
    <w:p>
      <w:pPr>
        <w:pStyle w:val="Heading2"/>
      </w:pPr>
      <w:r>
        <w:t>Multidisziplinäre Pflege nach Schädeldachplastik: neurologische und psychische Outcomes</w:t>
      </w:r>
    </w:p>
    <w:p>
      <w:r>
        <w:rPr>
          <w:i/>
          <w:color w:val="666666"/>
          <w:sz w:val="18"/>
        </w:rPr>
        <w:t>Chen Y et al.  ·  Ann Ital Chir  ·  15.09.2026  ·  PMID 42755313</w:t>
      </w:r>
    </w:p>
    <w:p>
      <w:r>
        <w:t>Retrospektive Kohortenstudie mit 101 Patienten nach Schädeldachplastik, Vergleich von Routinepflege versus multidisziplinärem Pflegekonzept mit präoperativer Beratung, Rehabilitation und psychologischer Überwachung.</w:t>
      </w:r>
    </w:p>
    <w:p>
      <w:r>
        <w:rPr>
          <w:b/>
        </w:rPr>
        <w:t xml:space="preserve">Ergebnis: </w:t>
      </w:r>
      <w:r>
        <w:t>Multidisziplinäre Gruppe zeigte signifikant bessere Ergebnisse: niedrigere NIHSS-Scores (p=0,02), höhere MMSE-Scores (p&lt;0,01), niedrigere HADS-Angst- (p&lt;0,01) und Depressions-Scores (p&lt;0,05), höhere ADL-Scores (p=0,01). Lebensqualität in psychologischen (p&lt;0,01), sozialen (p=0,03) und physischen Dimensionen (p&lt;0,01) signifikant höher; Komplikationsrate gesenkt (p=0,04).</w:t>
      </w:r>
    </w:p>
    <w:p>
      <w:r>
        <w:rPr>
          <w:b/>
          <w:sz w:val="19"/>
        </w:rPr>
        <w:t xml:space="preserve">Übertragbarkeit: </w:t>
      </w:r>
      <w:r>
        <w:rPr>
          <w:sz w:val="19"/>
        </w:rPr>
        <w:t>China, aber Outcome-Messinstrumente und Interventionskonzept international etabliert</w:t>
      </w:r>
    </w:p>
    <w:p>
      <w:r>
        <w:rPr>
          <w:color w:val="5A7D3A"/>
          <w:sz w:val="18"/>
        </w:rPr>
        <w:t>https://pubmed.ncbi.nlm.nih.gov/42755313/</w:t>
      </w:r>
    </w:p>
    <w:p>
      <w:pPr>
        <w:pStyle w:val="Heading2"/>
      </w:pPr>
      <w:r>
        <w:t>Herausforderungen der Pflege zu Hause: qualitative Analyse von Anbieter-Perspektiven</w:t>
      </w:r>
    </w:p>
    <w:p>
      <w:r>
        <w:rPr>
          <w:i/>
          <w:color w:val="666666"/>
          <w:sz w:val="18"/>
        </w:rPr>
        <w:t>Alharbi KK et al.  ·  BMC Geriatr  ·  17.09.2026  ·  PMID 42754857</w:t>
      </w:r>
    </w:p>
    <w:p>
      <w:r>
        <w:t>Qualitative Studie mit 60 Heimpflegekräften (Ärzte, Pflegepersonen, Physiotherapeuten) aus vier Regionen Saudi-Arabiens zur Identifikation von Versorgungsbarrieren.</w:t>
      </w:r>
    </w:p>
    <w:p>
      <w:r>
        <w:rPr>
          <w:b/>
        </w:rPr>
        <w:t xml:space="preserve">Ergebnis: </w:t>
      </w:r>
      <w:r>
        <w:t>Vier übergeordnete Herausforderungen identifiziert: (1) unterbrochene Kommunikation zwischen Pflegekräften und Angehörigen, (2) Fragmentierung von Systemen und Ressourcenmangel, (3) umweltliche und kulturelle Barrieren, (4) emotionale Belastung des Pflegepersonals. Diese Faktoren untergruben Versorgungskontinuität und Vertrauensbeziehungen. Autorenteam empfiehlt Schulungsprogramme für Angehörige, Ressourcenverteilung und standardisierte Überweisungsprozesse.</w:t>
      </w:r>
    </w:p>
    <w:p>
      <w:r>
        <w:rPr>
          <w:b/>
          <w:sz w:val="19"/>
        </w:rPr>
        <w:t xml:space="preserve">Übertragbarkeit: </w:t>
      </w:r>
      <w:r>
        <w:rPr>
          <w:sz w:val="19"/>
        </w:rPr>
        <w:t>Saudi-Arabien - verschiedenes Finanzsystem und Pflegeverständnis, aber Erkenntnisse zu Kommunikationsbarrieren übertragbar</w:t>
      </w:r>
    </w:p>
    <w:p>
      <w:r>
        <w:rPr>
          <w:color w:val="5A7D3A"/>
          <w:sz w:val="18"/>
        </w:rPr>
        <w:t>https://pubmed.ncbi.nlm.nih.gov/42754857/</w:t>
      </w:r>
    </w:p>
    <w:p>
      <w:pPr>
        <w:pStyle w:val="Heading2"/>
      </w:pPr>
      <w:r>
        <w:t>Lebensqualität nach Paukendrainage bei Kindern: Verbesserungen in Schlaf und Sprachwentwicklung</w:t>
      </w:r>
    </w:p>
    <w:p>
      <w:r>
        <w:rPr>
          <w:i/>
          <w:color w:val="666666"/>
          <w:sz w:val="18"/>
        </w:rPr>
        <w:t>Ranneries TN et al.  ·  Int J Pediatr Otorhinolaryngol  ·  22.08.2026  ·  PMID 42673792</w:t>
      </w:r>
    </w:p>
    <w:p>
      <w:r>
        <w:t>Prospektive Studie mit Randomisierung und Wartegruppe bei 60 Kindern mit chronischer Otitis media, Erfassung von Lebensqualität und Pflegeergebnissen einen Monat nach Tympanostomie-Röhrchen-Insertion.</w:t>
      </w:r>
    </w:p>
    <w:p>
      <w:r>
        <w:rPr>
          <w:b/>
        </w:rPr>
        <w:t xml:space="preserve">Ergebnis: </w:t>
      </w:r>
      <w:r>
        <w:t>Verbesserte Lebensqualität des Kindes von 6,2 auf 8,5 (Δ2,6; p&lt;0,0005) und Familienlebensqualität von 6,7 auf 8,1 (Δ1,7; p&lt;0,0005) einen Monat nach Röhrchenplatzierung. Pflegepersonen berichteten Verbesserungen bei Schlaf (58%), Hörvermögen (60%) und Spracherwerb (72%). Gesamtzufriedenheit: 96%.</w:t>
      </w:r>
    </w:p>
    <w:p>
      <w:r>
        <w:rPr>
          <w:b/>
          <w:sz w:val="19"/>
        </w:rPr>
        <w:t xml:space="preserve">Übertragbarkeit: </w:t>
      </w:r>
      <w:r>
        <w:rPr>
          <w:sz w:val="19"/>
        </w:rPr>
        <w:t>Dänemark, europäisches Gesundheitssystem, vergleichbare Indikationen und Messverfahren</w:t>
      </w:r>
    </w:p>
    <w:p>
      <w:r>
        <w:rPr>
          <w:color w:val="5A7D3A"/>
          <w:sz w:val="18"/>
        </w:rPr>
        <w:t>https://pubmed.ncbi.nlm.nih.gov/42673792/</w:t>
      </w:r>
    </w:p>
    <w:p>
      <w:pPr>
        <w:pStyle w:val="Heading1"/>
      </w:pPr>
      <w:r>
        <w:t>Aufgenommen am 18.09.2026</w:t>
      </w:r>
    </w:p>
    <w:p>
      <w:pPr>
        <w:pStyle w:val="Heading2"/>
      </w:pPr>
      <w:r>
        <w:t>Intelligentes Katheter-Warnsystem reduziert ungeplante Extubationen</w:t>
      </w:r>
    </w:p>
    <w:p>
      <w:r>
        <w:rPr>
          <w:i/>
          <w:color w:val="666666"/>
          <w:sz w:val="18"/>
        </w:rPr>
        <w:t>Lu Y et al.  ·  Health Informatics J  ·  17.09.2026  ·  PMID 42752222</w:t>
      </w:r>
    </w:p>
    <w:p>
      <w:r>
        <w:t>Prä-Post-Implementierungsstudie in Klinik mit 205 Pflegekräften und Patienten mit Urin- oder Magensonden zur Wirksamkeit eines automatisierten Risikowarnsystems auf ungeplante Extubationen und Pflegezufriedenheit.</w:t>
      </w:r>
    </w:p>
    <w:p>
      <w:r>
        <w:rPr>
          <w:b/>
        </w:rPr>
        <w:t xml:space="preserve">Ergebnis: </w:t>
      </w:r>
      <w:r>
        <w:t>Ungeplante Magensonden-Entfernung sank von 0,852‰ auf 0,501‰, Urinkatheterverlust von 0,219‰ auf 0,114‰. PSSUQ-Scores und Pflegezufriedenheit signifikant gestiegen (p&lt;0,001). Markierungsklarheit verbessert (p&lt;0,05).</w:t>
      </w:r>
    </w:p>
    <w:p>
      <w:r>
        <w:rPr>
          <w:b/>
          <w:sz w:val="19"/>
        </w:rPr>
        <w:t xml:space="preserve">Übertragbarkeit: </w:t>
      </w:r>
      <w:r>
        <w:rPr>
          <w:sz w:val="19"/>
        </w:rPr>
        <w:t>China, Ergebnis auf Sicherheit und Workflow übertragbar, Systeme adaptierbar</w:t>
      </w:r>
    </w:p>
    <w:p>
      <w:r>
        <w:rPr>
          <w:color w:val="5A7D3A"/>
          <w:sz w:val="18"/>
        </w:rPr>
        <w:t>https://pubmed.ncbi.nlm.nih.gov/42752222/</w:t>
      </w:r>
    </w:p>
    <w:p>
      <w:pPr>
        <w:pStyle w:val="Heading2"/>
      </w:pPr>
      <w:r>
        <w:t>Pflegeleitergesteuertes Beatmungsmanagement senkt Pneumonierate bei Sepsispatienten</w:t>
      </w:r>
    </w:p>
    <w:p>
      <w:r>
        <w:rPr>
          <w:i/>
          <w:color w:val="666666"/>
          <w:sz w:val="18"/>
        </w:rPr>
        <w:t>Xu Y et al.  ·  Crit Care  ·  14.09.2026  ·  PMID 42750044</w:t>
      </w:r>
    </w:p>
    <w:p>
      <w:r>
        <w:t>Multizentrische vergleichende Studie zur Wirksamkeit eines strukturierten Atemwegsmanagement-Bündels durch speziell geschulte Pflegekräfte auf Pneumonieinzidenz, Verweildauer und Mortalität bei Patienten mit abdomineller Sepsis auf Intensivstationen.</w:t>
      </w:r>
    </w:p>
    <w:p>
      <w:r>
        <w:rPr>
          <w:b/>
        </w:rPr>
        <w:t xml:space="preserve">Ergebnis: </w:t>
      </w:r>
      <w:r>
        <w:t>Pneumonieinzidenz sank von 42,2% (Kontrolle) auf 25,6% (Intervention, p&lt;0,001), OR 0,39 (95%-KI 0,28-0,54). Verweildauer verkürzt um 20% (IRR 0,80), 28-Tage-Mortalität 18,3% vs. 22,8% (OR 0,66, p=0,025). Effekt robust über fünf Sensitivitätsanalysen.</w:t>
      </w:r>
    </w:p>
    <w:p>
      <w:r>
        <w:rPr>
          <w:b/>
          <w:sz w:val="19"/>
        </w:rPr>
        <w:t xml:space="preserve">Übertragbarkeit: </w:t>
      </w:r>
      <w:r>
        <w:rPr>
          <w:sz w:val="19"/>
        </w:rPr>
        <w:t>China, ähnliche Intensivstrukturen, strukturierte Pflegeprotokolle adaptierbar</w:t>
      </w:r>
    </w:p>
    <w:p>
      <w:r>
        <w:rPr>
          <w:color w:val="5A7D3A"/>
          <w:sz w:val="18"/>
        </w:rPr>
        <w:t>https://pubmed.ncbi.nlm.nih.gov/42750044/</w:t>
      </w:r>
    </w:p>
    <w:p>
      <w:pPr>
        <w:pStyle w:val="Heading2"/>
      </w:pPr>
      <w:r>
        <w:t>Schichtarbeit und Migräne bei niederländischen Pflegekräften: prospektive Kohortenstudie</w:t>
      </w:r>
    </w:p>
    <w:p>
      <w:r>
        <w:rPr>
          <w:i/>
          <w:color w:val="666666"/>
          <w:sz w:val="18"/>
        </w:rPr>
        <w:t>van der Grinten T et al.  ·  Ann Work Expo Health  ·  26.08.2026  ·  PMID 42747342</w:t>
      </w:r>
    </w:p>
    <w:p>
      <w:r>
        <w:t>Prospektive Kohortenstudie mit zwei Messzeitpunkten (2011, 2017) zur Assoziation von Schichtarbeit mit Kopfschmerzen und Migräne bei 59.768 niederländischen Pflegekräften, adjustiert für Schlafstörungen.</w:t>
      </w:r>
    </w:p>
    <w:p>
      <w:r>
        <w:rPr>
          <w:b/>
        </w:rPr>
        <w:t xml:space="preserve">Ergebnis: </w:t>
      </w:r>
      <w:r>
        <w:t>Migräne: RR 1,13 (95%-KI 1,02-1,26) bei früherer Schichtarbeit. Kopfschmerz-Assoziation (RR 1,04) attenuierte nach Adjustierung für Schlafstörungen (RR 1,01, KI 0,98-1,04). Keine konsistente Assoziation mit aktueller Schichtarbeit.</w:t>
      </w:r>
    </w:p>
    <w:p>
      <w:r>
        <w:rPr>
          <w:b/>
          <w:sz w:val="19"/>
        </w:rPr>
        <w:t xml:space="preserve">Übertragbarkeit: </w:t>
      </w:r>
      <w:r>
        <w:rPr>
          <w:sz w:val="19"/>
        </w:rPr>
        <w:t>Niederlande, Versicherungssystem und Schichtmodelle vergleichbar mit Deutschland</w:t>
      </w:r>
    </w:p>
    <w:p>
      <w:r>
        <w:rPr>
          <w:color w:val="5A7D3A"/>
          <w:sz w:val="18"/>
        </w:rPr>
        <w:t>https://pubmed.ncbi.nlm.nih.gov/42747342/</w:t>
      </w:r>
    </w:p>
    <w:p>
      <w:pPr>
        <w:pStyle w:val="Heading2"/>
      </w:pPr>
      <w:r>
        <w:t>Sicherheitsklima im OP: Wahrnehmung von Pflegekräften in Slowenien</w:t>
      </w:r>
    </w:p>
    <w:p>
      <w:r>
        <w:rPr>
          <w:i/>
          <w:color w:val="666666"/>
          <w:sz w:val="18"/>
        </w:rPr>
        <w:t>Karnjuš I et al.  ·  BMJ Open  ·  15.09.2026  ·  PMID 42744359</w:t>
      </w:r>
    </w:p>
    <w:p>
      <w:r>
        <w:t>Querschnittstudie zur Wahrnehmung des Sicherheitsklimas durch OP- und Anästhesiepflegekräfte (n=169) in 14 slowenischen Krankenhäusern mittels Safety Attitudes Questionnaire-OR mit Fokus auf Einflussfaktoren.</w:t>
      </w:r>
    </w:p>
    <w:p>
      <w:r>
        <w:rPr>
          <w:b/>
        </w:rPr>
        <w:t xml:space="preserve">Ergebnis: </w:t>
      </w:r>
      <w:r>
        <w:t>Positive Sicherheitseinstellungen variierten deutlich zwischen Domänen: Managementwahrnehmung 7,7%, Arbeitszufriedenheit 57,4% (MW 75,24, 95%-KI 72,86-77,62). OP-Pflegekräfte positiver als Anästhesiepflegekräfte (Mitteldifferenz 0,21, p=0,007). Berufliche Rolle und Betriebszugehörigkeit signifikante Prädiktoren.</w:t>
      </w:r>
    </w:p>
    <w:p>
      <w:r>
        <w:rPr>
          <w:b/>
          <w:sz w:val="19"/>
        </w:rPr>
        <w:t xml:space="preserve">Übertragbarkeit: </w:t>
      </w:r>
      <w:r>
        <w:rPr>
          <w:sz w:val="19"/>
        </w:rPr>
        <w:t>Südosteuropa mit ähnlicher EU-Regulierung, Ergebnisse teilweise auf deutschsprachige Systeme übertragbar</w:t>
      </w:r>
    </w:p>
    <w:p>
      <w:r>
        <w:rPr>
          <w:color w:val="5A7D3A"/>
          <w:sz w:val="18"/>
        </w:rPr>
        <w:t>https://pubmed.ncbi.nlm.nih.gov/42744359/</w:t>
      </w:r>
    </w:p>
    <w:p>
      <w:pPr>
        <w:pStyle w:val="Heading2"/>
      </w:pPr>
      <w:r>
        <w:t>Sexuelle Gewalt in der Geburtshilfe: was Frauen von Hebammen brauchen</w:t>
      </w:r>
    </w:p>
    <w:p>
      <w:r>
        <w:rPr>
          <w:i/>
          <w:color w:val="666666"/>
          <w:sz w:val="18"/>
        </w:rPr>
        <w:t>Bosma NSWM et al.  ·  Eur J Psychotraumatol  ·  14.09.2026  ·  PMID 42735068</w:t>
      </w:r>
    </w:p>
    <w:p>
      <w:r>
        <w:t>Qualitative Studie mit 147 Frauen aus den Niederlanden zu Erfahrungen und Präferenzen bei Offenbarung von sexuellem Missbrauch gegenüber Hebammen und Gynäkologen; Identifikation von Unterstützungsbedarfen.</w:t>
      </w:r>
    </w:p>
    <w:p>
      <w:r>
        <w:rPr>
          <w:b/>
        </w:rPr>
        <w:t xml:space="preserve">Ergebnis: </w:t>
      </w:r>
      <w:r>
        <w:t>Drei zentrale Anforderungen: (1) Empathie und Traumaverstehen ohne emotionale Reaktion; (2) proaktives Ansprechen und Informationen zu Zusammenhängen; (3) Kontrolle über Details und Beteiligte. Befunde zeigen Notwendigkeit traumainformierter Richtlinien zur Vermeidung von Retraumatisierung.</w:t>
      </w:r>
    </w:p>
    <w:p>
      <w:r>
        <w:rPr>
          <w:b/>
          <w:sz w:val="19"/>
        </w:rPr>
        <w:t xml:space="preserve">Übertragbarkeit: </w:t>
      </w:r>
      <w:r>
        <w:rPr>
          <w:sz w:val="19"/>
        </w:rPr>
        <w:t>Niederlande, Hebammensystem vergleichbar, Befunde zu traumainformierter Kommunikation übertragbar</w:t>
      </w:r>
    </w:p>
    <w:p>
      <w:r>
        <w:rPr>
          <w:color w:val="5A7D3A"/>
          <w:sz w:val="18"/>
        </w:rPr>
        <w:t>https://pubmed.ncbi.nlm.nih.gov/42735068/</w:t>
      </w:r>
    </w:p>
    <w:p>
      <w:pPr>
        <w:pStyle w:val="Heading2"/>
      </w:pPr>
      <w:r>
        <w:t>Pflegekräfte und Desinformation im Internet: Vertrauenswahrnehmung und Bildung</w:t>
      </w:r>
    </w:p>
    <w:p>
      <w:r>
        <w:rPr>
          <w:i/>
          <w:color w:val="666666"/>
          <w:sz w:val="18"/>
        </w:rPr>
        <w:t>Katsiroumpa A et al.  ·  Int Nurs Rev  ·  Sept. 2026  ·  PMID 42683609</w:t>
      </w:r>
    </w:p>
    <w:p>
      <w:r>
        <w:t>Griechische Querschnittstudie bei Pflegekräften (n&gt;200) zur Assoziation zwischen Vertrauen in Wissenschaftler und Anfälligkeit für Online-Gesundheitsdesinformation sowie Einflussfaktoren wie Bildungsabschluss.</w:t>
      </w:r>
    </w:p>
    <w:p>
      <w:r>
        <w:rPr>
          <w:b/>
        </w:rPr>
        <w:t xml:space="preserve">Ergebnis: </w:t>
      </w:r>
      <w:r>
        <w:t>Höheres Vertrauen in Wissenschaftler assoziiert mit niedrigerer Desinformations-Anfälligkeit (negativ). MSc/PhD-Absolventen weniger anfällig als Grundausbildung. Interesse an Politik assoziiert mit niedrigerer Anfälligkeit. Bildungseffekt signifikant unabhängig.</w:t>
      </w:r>
    </w:p>
    <w:p>
      <w:r>
        <w:rPr>
          <w:b/>
          <w:sz w:val="19"/>
        </w:rPr>
        <w:t xml:space="preserve">Übertragbarkeit: </w:t>
      </w:r>
      <w:r>
        <w:rPr>
          <w:sz w:val="19"/>
        </w:rPr>
        <w:t>Griechenland, europäisches System, Befunde zur Fortbildung relevant für Deutschland</w:t>
      </w:r>
    </w:p>
    <w:p>
      <w:r>
        <w:rPr>
          <w:color w:val="5A7D3A"/>
          <w:sz w:val="18"/>
        </w:rPr>
        <w:t>https://pubmed.ncbi.nlm.nih.gov/42683609/</w:t>
      </w:r>
    </w:p>
    <w:p>
      <w:pPr>
        <w:pStyle w:val="Heading1"/>
      </w:pPr>
      <w:r>
        <w:t>Aufgenommen am 17.09.2026</w:t>
      </w:r>
    </w:p>
    <w:p>
      <w:pPr>
        <w:pStyle w:val="Heading2"/>
      </w:pPr>
      <w:r>
        <w:t>Digitaltechnik in der Altenpflege zu Hause: Leitlinien für erfolgreiche Umsetzung</w:t>
      </w:r>
    </w:p>
    <w:p>
      <w:r>
        <w:rPr>
          <w:i/>
          <w:color w:val="666666"/>
          <w:sz w:val="18"/>
        </w:rPr>
        <w:t>Batchelor F et al.  ·  JMIR Form Res  ·  16.09.2026  ·  PMID 42748485</w:t>
      </w:r>
    </w:p>
    <w:p>
      <w:r>
        <w:t>Mixed-Methods-Studie aus Australien zur Entwicklung von Implementierungsleitlinien für digitale Technologien in der ambulanten Altenpflege, basierend auf Befragungen, Interviews und Co-Design mit Klienten, Familien und Fachpersonen.</w:t>
      </w:r>
    </w:p>
    <w:p>
      <w:r>
        <w:rPr>
          <w:b/>
        </w:rPr>
        <w:t xml:space="preserve">Ergebnis: </w:t>
      </w:r>
      <w:r>
        <w:t>7 kritische Implementierungsdomänen identifiziert: Technikdesign, Datenschutz/Vertrauen, Schulung/Support, Organisationskultur, Klientenversorgung, digitale Kompetenz und wahrgenommene Vorteile. Leitlinien validiert durch Fallstudie mit intelligenten Brillen. Barrieren: mangelnde digitale Kompetenzen, Datenschutzbedenken; Förderfaktoren: benutzerfreundliches Design, adäquate Schulung.</w:t>
      </w:r>
    </w:p>
    <w:p>
      <w:r>
        <w:rPr>
          <w:b/>
          <w:sz w:val="19"/>
        </w:rPr>
        <w:t xml:space="preserve">Übertragbarkeit: </w:t>
      </w:r>
      <w:r>
        <w:rPr>
          <w:sz w:val="19"/>
        </w:rPr>
        <w:t>Australien, ähnliche Langzeitpflegestrukturen, vergleichbarer Fachkräftemangel</w:t>
      </w:r>
    </w:p>
    <w:p>
      <w:r>
        <w:rPr>
          <w:color w:val="5A7D3A"/>
          <w:sz w:val="18"/>
        </w:rPr>
        <w:t>https://pubmed.ncbi.nlm.nih.gov/42748485/</w:t>
      </w:r>
    </w:p>
    <w:p>
      <w:pPr>
        <w:pStyle w:val="Heading2"/>
      </w:pPr>
      <w:r>
        <w:t>Anforderungen an eine Mobil-App für häusliche Demenzbetreuung: Studie mit indonesischen Angehörigen</w:t>
      </w:r>
    </w:p>
    <w:p>
      <w:r>
        <w:rPr>
          <w:i/>
          <w:color w:val="666666"/>
          <w:sz w:val="18"/>
        </w:rPr>
        <w:t>Andhika MFE et al.  ·  JMIR Form Res  ·  16.09.2026  ·  PMID 42748455</w:t>
      </w:r>
    </w:p>
    <w:p>
      <w:r>
        <w:t>Qualitative Studie in Indonesien mit 49 Befragten (Fachpersonen, Pflegekräfte, pflegende Angehörige) zu Herausforderungen und Funktionsanforderungen einer Demenz-App für zu Hause.</w:t>
      </w:r>
    </w:p>
    <w:p>
      <w:r>
        <w:rPr>
          <w:b/>
        </w:rPr>
        <w:t xml:space="preserve">Ergebnis: </w:t>
      </w:r>
      <w:r>
        <w:t>Identifizierte Herausforderungen: Wissensmangel über Demenz, psychische Belastung von Angehörigen, Schwierigkeiten bei Gesundheitsüberwachung, Zugang zu Gesundheitsdiensten, kognitive Abnahme. Funktionsanforderungen: Tagebücher, Musikplaylists, Demenz-Lernvideos, psychologische Assessments für Angehörige, Kommunikationsforen. App-Akzeptanz hängt von Benutzerfreundlichkeit und Informationsqualität ab.</w:t>
      </w:r>
    </w:p>
    <w:p>
      <w:r>
        <w:rPr>
          <w:b/>
          <w:sz w:val="19"/>
        </w:rPr>
        <w:t xml:space="preserve">Übertragbarkeit: </w:t>
      </w:r>
      <w:r>
        <w:rPr>
          <w:sz w:val="19"/>
        </w:rPr>
        <w:t>Indonesien - Anforderungsanalyse kultursensibel, begrenzte Übertragung auf deutsche Systeme</w:t>
      </w:r>
    </w:p>
    <w:p>
      <w:r>
        <w:rPr>
          <w:color w:val="5A7D3A"/>
          <w:sz w:val="18"/>
        </w:rPr>
        <w:t>https://pubmed.ncbi.nlm.nih.gov/42748455/</w:t>
      </w:r>
    </w:p>
    <w:p>
      <w:pPr>
        <w:pStyle w:val="Heading2"/>
      </w:pPr>
      <w:r>
        <w:t>Sterberisiko im Altenheim vorhersagen: Maschinenlernmodell mit taiwanischen Routinedaten</w:t>
      </w:r>
    </w:p>
    <w:p>
      <w:r>
        <w:rPr>
          <w:i/>
          <w:color w:val="666666"/>
          <w:sz w:val="18"/>
        </w:rPr>
        <w:t>Tsai YC et al.  ·  JMIR Aging  ·  16.09.2026  ·  PMID 42748398</w:t>
      </w:r>
    </w:p>
    <w:p>
      <w:r>
        <w:t>Retrospektive Kohortenstudie aus Taiwan (23.901 Bewohner Entwicklung, 6.216 externe Validierung 2024) zur Entwicklung eines interpretierbaren Maschinenlernmodells für 6-Monats-Mortalitätsvorhersage bei Pflegeheimeintritt.</w:t>
      </w:r>
    </w:p>
    <w:p>
      <w:r>
        <w:rPr>
          <w:b/>
        </w:rPr>
        <w:t xml:space="preserve">Ergebnis: </w:t>
      </w:r>
      <w:r>
        <w:t>HybridXGBRF-Modell (Ensemble-Algorithmus) erreichte interne AUROC 0,89 und externe Validierung AUROC 0,90 (95%-KI 0,89-0,91), Genauigkeit 0,85, F1-Score 0,68. Kalibrierung zeigt gute Übereinstimmung zwischen vorhergesagtem und beobachtetem Risiko. Wichtigste Prädiktoren: Krankenhausaufnahmen in 6 Monaten, ADL-Beeinträchtigung, Gewichtsverlust. Modell stabil über Geschlecht/Alter.</w:t>
      </w:r>
    </w:p>
    <w:p>
      <w:r>
        <w:rPr>
          <w:b/>
          <w:sz w:val="19"/>
        </w:rPr>
        <w:t xml:space="preserve">Übertragbarkeit: </w:t>
      </w:r>
      <w:r>
        <w:rPr>
          <w:sz w:val="19"/>
        </w:rPr>
        <w:t>Taiwan, Langzeitpflegedateninfrastruktur vergleichbar, Routinedatennutzung analog Deutschland</w:t>
      </w:r>
    </w:p>
    <w:p>
      <w:r>
        <w:rPr>
          <w:color w:val="5A7D3A"/>
          <w:sz w:val="18"/>
        </w:rPr>
        <w:t>https://pubmed.ncbi.nlm.nih.gov/42748398/</w:t>
      </w:r>
    </w:p>
    <w:p>
      <w:pPr>
        <w:pStyle w:val="Heading2"/>
      </w:pPr>
      <w:r>
        <w:t>Was erhält Palliativpflegekräfte im ländlichen Raum im Beruf? Eine kanadische Kohortenstudie</w:t>
      </w:r>
    </w:p>
    <w:p>
      <w:r>
        <w:rPr>
          <w:i/>
          <w:color w:val="666666"/>
          <w:sz w:val="18"/>
        </w:rPr>
        <w:t>Penz KL et al.  ·  PLoS One  ·  16.09.2026  ·  PMID 42748183</w:t>
      </w:r>
    </w:p>
    <w:p>
      <w:r>
        <w:t>Querschnittsstudie von 295 kanadischen Pflegenden aus ländlichen Gebieten, die Hospiz-, Palliativ- oder Sterbebegleitung erbringen, zu Faktoren der Arbeitszufriedenheit und des Engagements.</w:t>
      </w:r>
    </w:p>
    <w:p>
      <w:r>
        <w:rPr>
          <w:b/>
        </w:rPr>
        <w:t xml:space="preserve">Ergebnis: </w:t>
      </w:r>
      <w:r>
        <w:t>7 Variablen erklären 40 % der Varianz in Arbeitsengagement: psychische Gesundheit, Arbeitszufriedenheit, interprofessionelle Zusammenarbeit, affektive/normative organisationale Bindung und reduzierte Arbeitslastfaktoren. Ländliche Pflegende mit Palliativaufgaben zeigen höhere Arbeitszufriedenheit als andere Berufsgruppen, haben aber weniger Personalressourcen und Zeit.</w:t>
      </w:r>
    </w:p>
    <w:p>
      <w:r>
        <w:rPr>
          <w:b/>
          <w:sz w:val="19"/>
        </w:rPr>
        <w:t xml:space="preserve">Übertragbarkeit: </w:t>
      </w:r>
      <w:r>
        <w:rPr>
          <w:sz w:val="19"/>
        </w:rPr>
        <w:t>Kanada, vergleichbare Versorgungsstruktur in dünn besiedelten Regionen</w:t>
      </w:r>
    </w:p>
    <w:p>
      <w:r>
        <w:rPr>
          <w:color w:val="5A7D3A"/>
          <w:sz w:val="18"/>
        </w:rPr>
        <w:t>https://pubmed.ncbi.nlm.nih.gov/42748183/</w:t>
      </w:r>
    </w:p>
    <w:p>
      <w:pPr>
        <w:pStyle w:val="Heading2"/>
      </w:pPr>
      <w:r>
        <w:t>Belastete Angehörige von Krebspatienten: Resilienztraining reduziert Angst und Depression</w:t>
      </w:r>
    </w:p>
    <w:p>
      <w:r>
        <w:rPr>
          <w:i/>
          <w:color w:val="666666"/>
          <w:sz w:val="18"/>
        </w:rPr>
        <w:t>Høeg BL et al.  ·  Psychooncology  ·  Sept. 2026  ·  PMID 42747116</w:t>
      </w:r>
    </w:p>
    <w:p>
      <w:r>
        <w:t>Randomisierte Studie aus Dänemark mit 79 psychisch belasteten Partners von Krebspatienten, die ein siebensitziges Resilienztrainings-Programm (manualisiert) erhielten oder Regelversorgung.</w:t>
      </w:r>
    </w:p>
    <w:p>
      <w:r>
        <w:rPr>
          <w:b/>
        </w:rPr>
        <w:t xml:space="preserve">Ergebnis: </w:t>
      </w:r>
      <w:r>
        <w:t>Signifikante Verbesserungen in der Interventionsgruppe: Angststörungen reduziert um 2,5 Punkte (95%-KI -4,6 bis -0,4; p=0,018); Depression und Lebensqualität bereits nach 3 Monaten verbessert. Hohe Zufriedenheit mit Programm (Gruppenformat geschätzt). Andere Outcomes zeigten keine signifikanten Gruppenunterschiede.</w:t>
      </w:r>
    </w:p>
    <w:p>
      <w:r>
        <w:rPr>
          <w:b/>
          <w:sz w:val="19"/>
        </w:rPr>
        <w:t xml:space="preserve">Übertragbarkeit: </w:t>
      </w:r>
      <w:r>
        <w:rPr>
          <w:sz w:val="19"/>
        </w:rPr>
        <w:t>Dänemark, europäisches Gesundheitssystem, vergleichbares Wohlfahrtsmodell</w:t>
      </w:r>
    </w:p>
    <w:p>
      <w:r>
        <w:rPr>
          <w:color w:val="5A7D3A"/>
          <w:sz w:val="18"/>
        </w:rPr>
        <w:t>https://pubmed.ncbi.nlm.nih.gov/42747116/</w:t>
      </w:r>
    </w:p>
    <w:p>
      <w:pPr>
        <w:pStyle w:val="Heading2"/>
      </w:pPr>
      <w:r>
        <w:t>Schlafstörung, Depression und Stress: Was Müdigkeit bei Pflegenden in Nachtschicht verursacht</w:t>
      </w:r>
    </w:p>
    <w:p>
      <w:r>
        <w:rPr>
          <w:i/>
          <w:color w:val="666666"/>
          <w:sz w:val="18"/>
        </w:rPr>
        <w:t>Huang HM et al.  ·  Nurs Open  ·  Sept. 2026  ·  PMID 42746893</w:t>
      </w:r>
    </w:p>
    <w:p>
      <w:r>
        <w:t>Querschnittsstudie mit 225 weiblichen Pflegenden im Nachtdienst in Taiwan zu Zusammenhängen zwischen Schlafstörung, Stress, Depression und Müdigkeit.</w:t>
      </w:r>
    </w:p>
    <w:p>
      <w:r>
        <w:rPr>
          <w:b/>
        </w:rPr>
        <w:t xml:space="preserve">Ergebnis: </w:t>
      </w:r>
      <w:r>
        <w:t>84 % der Pflegenden zeigten klinisch signifikante Müdigkeit; 67,6 % Schlafstörungen. Müdigkeit war zyklisch und höchsten gegen 9:00 Uhr; sekundärer Peak 5:00-6:00 Uhr. Höhere Müdigkeit zu Menstruationsbeginn (nicht signifikant nach Mehrfachvergleichskorrektur). Unabhängige Einflussfaktoren auf Müdigkeit: Schlafstörung, depressive Symptome und wahrgenommener Stress erklären 29,9 % der Varianz.</w:t>
      </w:r>
    </w:p>
    <w:p>
      <w:r>
        <w:rPr>
          <w:b/>
          <w:sz w:val="19"/>
        </w:rPr>
        <w:t xml:space="preserve">Übertragbarkeit: </w:t>
      </w:r>
      <w:r>
        <w:rPr>
          <w:sz w:val="19"/>
        </w:rPr>
        <w:t>Taiwan - Schichtarbeitsmuster ähnlich, aber begrenzte kulturelle Übertragbarkeit</w:t>
      </w:r>
    </w:p>
    <w:p>
      <w:r>
        <w:rPr>
          <w:color w:val="5A7D3A"/>
          <w:sz w:val="18"/>
        </w:rPr>
        <w:t>https://pubmed.ncbi.nlm.nih.gov/42746893/</w:t>
      </w:r>
    </w:p>
    <w:p>
      <w:pPr>
        <w:pStyle w:val="Heading2"/>
      </w:pPr>
      <w:r>
        <w:t>Mundgerechte Versorgung pflegender Angehöriger in der Häuslichkeit: Kooperation und Finanzierung</w:t>
      </w:r>
    </w:p>
    <w:p>
      <w:r>
        <w:rPr>
          <w:i/>
          <w:color w:val="666666"/>
          <w:sz w:val="18"/>
        </w:rPr>
        <w:t>Porzelt S et al.  ·  BMC Geriatr  ·  10.09.2026  ·  PMID 42745240</w:t>
      </w:r>
    </w:p>
    <w:p>
      <w:r>
        <w:t>Qualitative Studie mit 55 Stakeholdern aus Deutschland (Zahnärzte, Pflegende, Angehörige) zu Barrieren und Förderfaktoren bei der Mundgesundheitsversorgung pflegebedürftiger älterer Menschen zu Hause.</w:t>
      </w:r>
    </w:p>
    <w:p>
      <w:r>
        <w:rPr>
          <w:b/>
        </w:rPr>
        <w:t xml:space="preserve">Ergebnis: </w:t>
      </w:r>
      <w:r>
        <w:t>Zentrale Befunde: Mangelnde Interprofessionelle Kooperation zwischen Zahnärzten, Allgemeinmedizinern und ambulanten Pflegeteams; unklare Finanzierungsverantwortung; mangelnde Schulung von Pflegenden und Angehörigen zur Mundhygiene; digitale Koordination fehlt. Fazit: Strukturierte Kooperation, Schulungsangebote und Finanzierungsreformen sind erforderlich.</w:t>
      </w:r>
    </w:p>
    <w:p>
      <w:r>
        <w:rPr>
          <w:b/>
          <w:sz w:val="19"/>
        </w:rPr>
        <w:t xml:space="preserve">Übertragbarkeit: </w:t>
      </w:r>
      <w:r>
        <w:rPr>
          <w:sz w:val="19"/>
        </w:rPr>
        <w:t>Deutschland (Hamburg), Langzeitpflegesystem untersucht</w:t>
      </w:r>
    </w:p>
    <w:p>
      <w:r>
        <w:rPr>
          <w:color w:val="5A7D3A"/>
          <w:sz w:val="18"/>
        </w:rPr>
        <w:t>https://pubmed.ncbi.nlm.nih.gov/42745240/</w:t>
      </w:r>
    </w:p>
    <w:p>
      <w:pPr>
        <w:pStyle w:val="Heading1"/>
      </w:pPr>
      <w:r>
        <w:t>Aufgenommen am 16.09.2026</w:t>
      </w:r>
    </w:p>
    <w:p>
      <w:pPr>
        <w:pStyle w:val="Heading2"/>
      </w:pPr>
      <w:r>
        <w:t>Kommunikation und Technologie aus Sicht von Kindern mit lebensverkürzenden Erkrankungen in der Palliativversorgung</w:t>
      </w:r>
    </w:p>
    <w:p>
      <w:r>
        <w:rPr>
          <w:i/>
          <w:color w:val="666666"/>
          <w:sz w:val="18"/>
        </w:rPr>
        <w:t>Martinsen LJ et al.  ·  BMJ Paediatr Open  ·  15.09.2026  ·  PMID 42744656</w:t>
      </w:r>
    </w:p>
    <w:p>
      <w:r>
        <w:t>Qualitative Studie mit 7 Kindern (8–15 Jahre) mit lebensverkürzenden oder lebensbedrohlichen Erkrankungen zu ihren Bedürfnissen in der Kommunikation mit Fachpersonen und zur Rolle von Technologie im Alltag.</w:t>
      </w:r>
    </w:p>
    <w:p>
      <w:r>
        <w:rPr>
          <w:b/>
        </w:rPr>
        <w:t xml:space="preserve">Ergebnis: </w:t>
      </w:r>
      <w:r>
        <w:t>Drei Kernthemen: (1) Kinder verstehen Technologie primär durch Alltag statt Gesundheitskontext, (2) Technologie könnte eine "digitale Brücke zur Normalität" bilden, (3) Kinder bevorzugen persönliche Treffen mit Gesundheitsfachpersonen für Sicherheit und klare Informationen; Lücken in Kinderpartizipation bei Entscheidungen identifiziert.</w:t>
      </w:r>
    </w:p>
    <w:p>
      <w:r>
        <w:rPr>
          <w:b/>
          <w:sz w:val="19"/>
        </w:rPr>
        <w:t xml:space="preserve">Übertragbarkeit: </w:t>
      </w:r>
      <w:r>
        <w:rPr>
          <w:sz w:val="19"/>
        </w:rPr>
        <w:t>Norwegen, pädiatrische Palliativversorgung mit Fokus auf Home-based Care wie deutsches Modell</w:t>
      </w:r>
    </w:p>
    <w:p>
      <w:r>
        <w:rPr>
          <w:color w:val="5A7D3A"/>
          <w:sz w:val="18"/>
        </w:rPr>
        <w:t>https://pubmed.ncbi.nlm.nih.gov/42744656/</w:t>
      </w:r>
    </w:p>
    <w:p>
      <w:pPr>
        <w:pStyle w:val="Heading2"/>
      </w:pPr>
      <w:r>
        <w:t>Sichtweisen von Pflegehilfskräften auf Technologieeinführung in der Langzeitpflege</w:t>
      </w:r>
    </w:p>
    <w:p>
      <w:r>
        <w:rPr>
          <w:i/>
          <w:color w:val="666666"/>
          <w:sz w:val="18"/>
        </w:rPr>
        <w:t>Omotunde M et al.  ·  BMJ Open  ·  15.09.2026  ·  PMID 42744373</w:t>
      </w:r>
    </w:p>
    <w:p>
      <w:r>
        <w:t>Scoping Review (JBI-Methode) mit Analyse von 17 Quellen aus 5 Ländern (2004–2026) zu Perspektiven von Care Aides auf Technologieadoption und -nachhaltigkeit in Langzeiteinrichtungen.</w:t>
      </w:r>
    </w:p>
    <w:p>
      <w:r>
        <w:rPr>
          <w:b/>
        </w:rPr>
        <w:t xml:space="preserve">Ergebnis: </w:t>
      </w:r>
      <w:r>
        <w:t>Care Aides sind offen für Technologie, wenn diese Workflows unterstützt, Pflege verbessert, angemessenes Training und Support bereitgestellt werden und sie in Implementierung einbezogen sind; Training liefert Information über Chancen/Probleme, fördert klare Haltung und adressiert Misskonzeptionen; begrenzte verfügbare Evidenz unterstreicht modifizierbare Faktoren für Uptake.</w:t>
      </w:r>
    </w:p>
    <w:p>
      <w:r>
        <w:rPr>
          <w:b/>
          <w:sz w:val="19"/>
        </w:rPr>
        <w:t xml:space="preserve">Übertragbarkeit: </w:t>
      </w:r>
      <w:r>
        <w:rPr>
          <w:sz w:val="19"/>
        </w:rPr>
        <w:t>Kanada und übrige OECD, Arbeitsbedingungen und Qualifikationsmix strukturell vergleichbar mit Deutschland</w:t>
      </w:r>
    </w:p>
    <w:p>
      <w:r>
        <w:rPr>
          <w:color w:val="5A7D3A"/>
          <w:sz w:val="18"/>
        </w:rPr>
        <w:t>https://pubmed.ncbi.nlm.nih.gov/42744373/</w:t>
      </w:r>
    </w:p>
    <w:p>
      <w:pPr>
        <w:pStyle w:val="Heading2"/>
      </w:pPr>
      <w:r>
        <w:t>Alltag von Demenzerkrankten im Heim: Beobachtungsdaten zu Lebensqualität mittels KI-gestützte Textanalyse</w:t>
      </w:r>
    </w:p>
    <w:p>
      <w:r>
        <w:rPr>
          <w:i/>
          <w:color w:val="666666"/>
          <w:sz w:val="18"/>
        </w:rPr>
        <w:t>Steijger D et al.  ·  J Med Internet Res  ·  15.09.2026  ·  PMID 42743440</w:t>
      </w:r>
    </w:p>
    <w:p>
      <w:r>
        <w:t>Sekundäranalyse von 5.622 Beobachtungstexten aus 151 Demenzerkrankten in niederländischen Heimen, die mittels Large Language Model (LLM) auf Lebensqualitätsmuster analysiert wurden.</w:t>
      </w:r>
    </w:p>
    <w:p>
      <w:r>
        <w:rPr>
          <w:b/>
        </w:rPr>
        <w:t xml:space="preserve">Ergebnis: </w:t>
      </w:r>
      <w:r>
        <w:t>N-Gramm-Analyse zeigte überwiegend passive Aktivitäten ("sitzt am Tisch") in wenig variierenden Innenräumen; emotionales Wohlbefinden wurde oft positiv beschrieben ("lächelt und lacht"), negative Äußerungen traten seltener auf, trugen aber stärkere emotionale Intensität; LLM identifizierte 8 kohärente Themenclusters, davon mehrere Bereiche mit Bezug zu Lebensqualitätsdomänen.</w:t>
      </w:r>
    </w:p>
    <w:p>
      <w:r>
        <w:rPr>
          <w:b/>
          <w:sz w:val="19"/>
        </w:rPr>
        <w:t xml:space="preserve">Übertragbarkeit: </w:t>
      </w:r>
      <w:r>
        <w:rPr>
          <w:sz w:val="19"/>
        </w:rPr>
        <w:t>Niederlande, Versicherungssystem vergleichbar, Beobachtungsdaten parallele zu deutschen Pflegedokumentationen</w:t>
      </w:r>
    </w:p>
    <w:p>
      <w:r>
        <w:rPr>
          <w:color w:val="5A7D3A"/>
          <w:sz w:val="18"/>
        </w:rPr>
        <w:t>https://pubmed.ncbi.nlm.nih.gov/42743440/</w:t>
      </w:r>
    </w:p>
    <w:p>
      <w:pPr>
        <w:pStyle w:val="Heading2"/>
      </w:pPr>
      <w:r>
        <w:t>Folgen des "second victim"-Phänomens auf Pflegekräfte und Ärzte nach Sicherheitsvorfällen</w:t>
      </w:r>
    </w:p>
    <w:p>
      <w:r>
        <w:rPr>
          <w:i/>
          <w:color w:val="666666"/>
          <w:sz w:val="18"/>
        </w:rPr>
        <w:t>Vianna Gonçalves da Costa ECDC et al.  ·  PLoS One  ·  15.09.2026  ·  PMID 42743379</w:t>
      </w:r>
    </w:p>
    <w:p>
      <w:r>
        <w:t>Scoping Review (JBI/PRISMA-ScR) mit systematischer Analyse von 37 Publikationen (2009–2024) aus 22 Ländern über Auswirkungen des "second victim"-Phänomens auf Gesundheitsfachpersonen nach Patientensicherheitsvorfällen.</w:t>
      </w:r>
    </w:p>
    <w:p>
      <w:r>
        <w:rPr>
          <w:b/>
        </w:rPr>
        <w:t xml:space="preserve">Ergebnis: </w:t>
      </w:r>
      <w:r>
        <w:t>39 Auswirkungen kartografiert in vier Dimensionen (physisch, mental, beruflich, sozial); berufliche Dimension zeigte höchste Anzahl; mentale Dimension identifizierte Suizidgedanken als Risiko für physische Integrität; überwiegend qualitative Studien (n=14); Krankenhauseinrichtungen am häufigsten (n=25); Pflegefachpersonen meist untersucht (n=27).</w:t>
      </w:r>
    </w:p>
    <w:p>
      <w:r>
        <w:rPr>
          <w:b/>
          <w:sz w:val="19"/>
        </w:rPr>
        <w:t xml:space="preserve">Übertragbarkeit: </w:t>
      </w:r>
      <w:r>
        <w:rPr>
          <w:sz w:val="19"/>
        </w:rPr>
        <w:t>Internationale Evidenz, Phänomen in deutschem Pflegealltag dokumentiert, Arbeitsschutzaspekt universal</w:t>
      </w:r>
    </w:p>
    <w:p>
      <w:r>
        <w:rPr>
          <w:color w:val="5A7D3A"/>
          <w:sz w:val="18"/>
        </w:rPr>
        <w:t>https://pubmed.ncbi.nlm.nih.gov/42743379/</w:t>
      </w:r>
    </w:p>
    <w:p>
      <w:pPr>
        <w:pStyle w:val="Heading2"/>
      </w:pPr>
      <w:r>
        <w:t>Schichtarbeit und psychische Belastung bei Pflegekräften: Schichtmuster und Krankmeldungen</w:t>
      </w:r>
    </w:p>
    <w:p>
      <w:r>
        <w:rPr>
          <w:i/>
          <w:color w:val="666666"/>
          <w:sz w:val="18"/>
        </w:rPr>
        <w:t>Nilsson T et al.  ·  Eur J Public Health  ·  04.08.2026  ·  PMID 42742568</w:t>
      </w:r>
    </w:p>
    <w:p>
      <w:r>
        <w:t>Prospektive Kohortenstudie mit 25.120 Pflegekräften in Stockholm (2008–2019), die den Zusammenhang zwischen Schichtmuster und psychisch bedingten Krankmeldungen über 11 Jahre untersucht.</w:t>
      </w:r>
    </w:p>
    <w:p>
      <w:r>
        <w:rPr>
          <w:b/>
        </w:rPr>
        <w:t xml:space="preserve">Ergebnis: </w:t>
      </w:r>
      <w:r>
        <w:t>Pflegekräfte mit Nachtschichten zeigten ein geringeres Risiko für Krankmeldungen wegen psychischer Störungen (HR 0,80, 95% KI 0,72–0,89) im Vergleich zu Tagarbeitern; Häufigkeit von &gt;121 Nachtschichten pro Jahr war mit niedrigerem Risiko assoziiert (HR 0,77, 95% KI 0,65–0,90). Der Befund könnte einen Selektionseffekt gesunder Personen in Nachtschichten widerspiegeln.</w:t>
      </w:r>
    </w:p>
    <w:p>
      <w:r>
        <w:rPr>
          <w:b/>
          <w:sz w:val="19"/>
        </w:rPr>
        <w:t xml:space="preserve">Übertragbarkeit: </w:t>
      </w:r>
      <w:r>
        <w:rPr>
          <w:sz w:val="19"/>
        </w:rPr>
        <w:t>Schwedische Registerdata, deutschsprachige Systeme haben vergleichbare Schichtstrukturen</w:t>
      </w:r>
    </w:p>
    <w:p>
      <w:r>
        <w:rPr>
          <w:color w:val="5A7D3A"/>
          <w:sz w:val="18"/>
        </w:rPr>
        <w:t>https://pubmed.ncbi.nlm.nih.gov/42742568/</w:t>
      </w:r>
    </w:p>
    <w:p>
      <w:pPr>
        <w:pStyle w:val="Heading2"/>
      </w:pPr>
      <w:r>
        <w:t>Langzeitergebnisse von Kindern nach Misshandlung: norwegische Kohortenstudie mit Registeranbindung</w:t>
      </w:r>
    </w:p>
    <w:p>
      <w:r>
        <w:rPr>
          <w:i/>
          <w:color w:val="666666"/>
          <w:sz w:val="18"/>
        </w:rPr>
        <w:t>Sivertsen B et al.  ·  BMJ Open  ·  01.09.2026  ·  PMID 42680496</w:t>
      </w:r>
    </w:p>
    <w:p>
      <w:r>
        <w:t>Prospektive Kohortenstudie (Triple-S) mit Rekrutierung von 733 pflegenden Angehörigen und 325 Jugendlichen (12–18 Jahre) mit substantiierter Misshandlung, Nachverfolgung alle 2 Jahre mit Registeranbindung (Stand Juni 2026).</w:t>
      </w:r>
    </w:p>
    <w:p>
      <w:r>
        <w:rPr>
          <w:b/>
        </w:rPr>
        <w:t xml:space="preserve">Ergebnis: </w:t>
      </w:r>
      <w:r>
        <w:t>Bisherige Analysen dokumentierten erhebliche psychische Belastungen und Schlafprobleme, beeinträchtigte Schulleistung, hohes Niveau von nicht-suizidaler Selbstverletzung; erhebliche Variation in Inanspruchnahme von Diensten und Koordination; emotionale, relationale und praktische Barrieren für Offenbarung identifiziert; pflegende Angehörige zeigen relationale Stärken und Schwierigkeiten beim Parenting sowie sozioökonomische Vulnerabilität.</w:t>
      </w:r>
    </w:p>
    <w:p>
      <w:r>
        <w:rPr>
          <w:b/>
          <w:sz w:val="19"/>
        </w:rPr>
        <w:t xml:space="preserve">Übertragbarkeit: </w:t>
      </w:r>
      <w:r>
        <w:rPr>
          <w:sz w:val="19"/>
        </w:rPr>
        <w:t>Norwegen, deutsches Kinderschutzsystem struktuell vergleichbar, Registerforschung etabliert</w:t>
      </w:r>
    </w:p>
    <w:p>
      <w:r>
        <w:rPr>
          <w:color w:val="5A7D3A"/>
          <w:sz w:val="18"/>
        </w:rPr>
        <w:t>https://pubmed.ncbi.nlm.nih.gov/42680496/</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Ruan Z et al.  ·  J Vis Exp  ·  08.09.2026  ·  PMID 42714051</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https://pubmed.ncbi.nlm.nih.gov/42714051/</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2026-10-03T06:00:00Z</dcterms:created>
  <dcterms:modified xsi:type="dcterms:W3CDTF">2026-10-03T06:00:00Z</dcterms:modified>
  <cp:category/>
</cp:coreProperties>
</file>