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24.10.2026  |  7 Studien  |  safety.m-vf.de</w:t>
      </w:r>
    </w:p>
    <w:p>
      <w:pPr>
        <w:pStyle w:val="Heading1"/>
      </w:pPr>
      <w:r>
        <w:t>Aufgenommen am 24.10.2026</w:t>
      </w:r>
    </w:p>
    <w:p>
      <w:pPr>
        <w:pStyle w:val="Heading2"/>
      </w:pPr>
      <w:r>
        <w:t>pH-Wert 4,5 bei Magensonde senkte X-Ray-Bestätigungen ohne Sicherheitsverlust</w:t>
      </w:r>
    </w:p>
    <w:p>
      <w:r>
        <w:rPr>
          <w:i/>
          <w:color w:val="666666"/>
          <w:sz w:val="18"/>
        </w:rPr>
        <w:t>Williams V et al.  ·  Br J Nurs  ·  22.10.2026  ·  PMID 42912425</w:t>
      </w:r>
    </w:p>
    <w:p>
      <w:r>
        <w:t>Qualitätsinitiative an einem britischen Krankenhaus, die den pH-Grenzwert zur Magensonden-Lagekontrolle von 5,5 auf 4,5 senkte, um Fehlplatzierungen zu reduzieren; Erfassung von Audit-Daten 2018-2026.</w:t>
      </w:r>
    </w:p>
    <w:p>
      <w:r>
        <w:rPr>
          <w:b/>
        </w:rPr>
        <w:t xml:space="preserve">Ergebnis: </w:t>
      </w:r>
      <w:r>
        <w:t>Die Absenkung des pH-Grenzwerts auf 4,5 führte nicht zu einem Anstieg der Röntgenbestätigungen. Die Maßnahme war eine einfache und wirksame Sicherheitsverbesserung, die mit Standard-Pflegeverfahren umsetzbar war und Fehlplatzierungsrisiken senkte.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Vereinigtes Königreich, direkt übertragbar auf deutsche Krankenhäuser, unkomplizierte Prozessanpassung.</w:t>
      </w:r>
    </w:p>
    <w:p>
      <w:r>
        <w:rPr>
          <w:color w:val="5A7D3A"/>
          <w:sz w:val="18"/>
        </w:rPr>
        <w:t>https://pubmed.ncbi.nlm.nih.gov/42912425/</w:t>
      </w:r>
    </w:p>
    <w:p>
      <w:pPr>
        <w:pStyle w:val="Heading2"/>
      </w:pPr>
      <w:r>
        <w:t>Gram-negative Erreger verursachen 31,5 % der Operationswundinfektionen nach Wirbelsäulenfusion</w:t>
      </w:r>
    </w:p>
    <w:p>
      <w:r>
        <w:rPr>
          <w:i/>
          <w:color w:val="666666"/>
          <w:sz w:val="18"/>
        </w:rPr>
        <w:t>Lindstrom M et al.  ·  Emerg Infect Dis  ·  Nov. 2026  ·  PMID 42909851</w:t>
      </w:r>
    </w:p>
    <w:p>
      <w:r>
        <w:t>Querschnittsanalyse von 7.187 Fällen aus dem CDC-Überwachungsnetzwerk zu Mikrobiologie und Risikofaktoren für Gram-negative Infektionen nach Wirbelsäulenfusionen.</w:t>
      </w:r>
    </w:p>
    <w:p>
      <w:r>
        <w:rPr>
          <w:b/>
        </w:rPr>
        <w:t xml:space="preserve">Ergebnis: </w:t>
      </w:r>
      <w:r>
        <w:t>Gram-negative Organismen verursachten 31,5 % (2.265/7.187) der Infektionen. Unabhängig assoziiert mit Gram-negativ-Infektion waren: höheres Alter, weibliches Geschlecht, höherer BMI, längere OP-Zeiten, höhere ASA-Klasse, lumbale Beteiligung, stationäre OP und Notfall-/Traumachirurgie.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begrenzte Übertragbarkeit auf Deutschland wegen Finanzierungsunterschieden, aber Risikoprofil für empirische Antibiotika-Wahl relevant.</w:t>
      </w:r>
    </w:p>
    <w:p>
      <w:r>
        <w:rPr>
          <w:color w:val="5A7D3A"/>
          <w:sz w:val="18"/>
        </w:rPr>
        <w:t>https://pubmed.ncbi.nlm.nih.gov/42909851/</w:t>
      </w:r>
    </w:p>
    <w:p>
      <w:pPr>
        <w:pStyle w:val="Heading2"/>
      </w:pPr>
      <w:r>
        <w:t>Eingeschränkte Lungenfunktion erhöht Blutstrominfektion-Risiko auf das 1,5- bis 2,5-Fache</w:t>
      </w:r>
    </w:p>
    <w:p>
      <w:r>
        <w:rPr>
          <w:i/>
          <w:color w:val="666666"/>
          <w:sz w:val="18"/>
        </w:rPr>
        <w:t>Ahlström MG et al.  ·  Respir Med  ·  11.10.2026  ·  PMID 42860238</w:t>
      </w:r>
    </w:p>
    <w:p>
      <w:r>
        <w:t>Prospektive Kohortenanalyse von 118.565 Teilnehmern der Kopenhagener Bevölkerungsstudie mit Spirometrie und 10-Jahres-Nachverfolgung über mikrobielle Datenbanken zur Untersuchung der Assoziation zwischen Lungenfunktion und Blutstrominfektion.</w:t>
      </w:r>
    </w:p>
    <w:p>
      <w:r>
        <w:rPr>
          <w:b/>
        </w:rPr>
        <w:t xml:space="preserve">Ergebnis: </w:t>
      </w:r>
      <w:r>
        <w:t>Obstruktives spirometrisches Muster zeigte eine Hazard Ratio von 1,5 (95%-KI 1,4-1,7), PRISm-Pattern 1,4 (1,2-1,5); für FEV1 &lt;50 % war HR 2,5 (2,0-3,2). Die bevölkerungsattribuierbare Fraktion für Blutstrominfektion durch abnormale Spirometrie betrug 9,5 %. Das Risiko war nicht auf Atemwegserreger beschränkt.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europäisches Gesundheitssystem; Primärprävention durch Lungenfunktionscreening relevanter für Risikoidentifikation.</w:t>
      </w:r>
    </w:p>
    <w:p>
      <w:r>
        <w:rPr>
          <w:color w:val="5A7D3A"/>
          <w:sz w:val="18"/>
        </w:rPr>
        <w:t>https://pubmed.ncbi.nlm.nih.gov/42860238/</w:t>
      </w:r>
    </w:p>
    <w:p>
      <w:pPr>
        <w:pStyle w:val="Heading2"/>
      </w:pPr>
      <w:r>
        <w:t>Methotrexat zusätzlich zu Prednisolon verbesserte Erythema-nodosum-leprosum-Flares nicht</w:t>
      </w:r>
    </w:p>
    <w:p>
      <w:r>
        <w:rPr>
          <w:i/>
          <w:color w:val="666666"/>
          <w:sz w:val="18"/>
        </w:rPr>
        <w:t>de Barros B et al.  ·  PLoS Negl Trop Dis  ·  30.09.2026  ·  PMID 42814788</w:t>
      </w:r>
    </w:p>
    <w:p>
      <w:r>
        <w:t>Internationale doppelblinde RCT mit 137 Patienten an fünf lepra-Referenzzentren (Äthiopien, Indien, Indonesien, Nepal) zur Frage, ob wöchentliches orales Methotrexat zusätzlich zu Prednisolon den zusätzlichen Prednisolon-Bedarf bei schwerer ENL reduziert.</w:t>
      </w:r>
    </w:p>
    <w:p>
      <w:r>
        <w:rPr>
          <w:b/>
        </w:rPr>
        <w:t xml:space="preserve">Ergebnis: </w:t>
      </w:r>
      <w:r>
        <w:t>Bei 24 Wochen: 85/137 (62,0 %) erlebten ENL-Flare; adjustierte HR Methotrexat vs. Placebo 0,98 (95%-KI 0,62-1,54). Bei 48 Wochen: 102/137 (74,5 %); HR 0,95 (0,62-1,43). Sekundärergebnisse ähnlich: Methotrexat reduzierte nicht Schweregrad, Häufigkeit oder spätere Flares. Lebensqualität verbesserte sich in beiden Gruppen ohne Unterschied. Methotrexat war gut verträglich, wird aber von dieser Studie für schwere ENL nicht unterstützt.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Multipol niedrig-/mittleeinkommliche Länder, Wirksamkeitsstudie zu seltener Krankheit, aber Versorgungsrelevanz für deutschsprachige Länder gering.</w:t>
      </w:r>
    </w:p>
    <w:p>
      <w:r>
        <w:rPr>
          <w:color w:val="5A7D3A"/>
          <w:sz w:val="18"/>
        </w:rPr>
        <w:t>https://pubmed.ncbi.nlm.nih.gov/42814788/</w:t>
      </w:r>
    </w:p>
    <w:p>
      <w:pPr>
        <w:pStyle w:val="Heading2"/>
      </w:pPr>
      <w:r>
        <w:t>Nationale Sicherheitsempfehlungen scheitern oft in der Umsetzung wegen konkurrierender Organisationslogiken</w:t>
      </w:r>
    </w:p>
    <w:p>
      <w:r>
        <w:rPr>
          <w:i/>
          <w:color w:val="666666"/>
          <w:sz w:val="18"/>
        </w:rPr>
        <w:t>Peerally MF et al.  ·  Int J Qual Health Care  ·  05.10.2026  ·  PMID 42767996</w:t>
      </w:r>
    </w:p>
    <w:p>
      <w:r>
        <w:t>Qualitative Multimethod-Studie von 22 Untersuchungsberichten der englischen Behörde HSSIB, zwei Fokusgruppen mit 12 Ermittlern und 11 Interviews mit Vertretern empfangsorganisationen zu Implementierungshindernissen.</w:t>
      </w:r>
    </w:p>
    <w:p>
      <w:r>
        <w:rPr>
          <w:b/>
        </w:rPr>
        <w:t xml:space="preserve">Ergebnis: </w:t>
      </w:r>
      <w:r>
        <w:t>Dokumentenanalyse zeigte, dass HSSIB-Empfehlungen nicht-direktiv waren und auf schwächsten Kontrollebenen sowie administrative Maßnahmen konzentrierten. Zwei konkurrierende institutionelle Logiken: HSSIB nutzt Sicherheitswissenschaft (Systemdenken, Mitgestaltung, nonpunitives Lernen), Empfängerorganisationen nutzen Manage-ment-Operationslogik (Ressourcenverwaltung, operative Machbarkeit). Folgen: (i) Empfehlungen durch nominale Koproduktion abgeschwächt; (ii) Prioritäten durch politische Salience und Ressourcenverfügbarkeit gesteuert; (iii) diffuse Rechenschaftspflicht; (iv) Transparenz-Wirkung begrenzt. Strukturelle Trennung HSSIB/Organisationen paradox: zentral für Legitimität als Lernkörper, aber distanziert von operativen Realitäten.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Vereinigtes Königreich, deutsches Sicherheitsmanagementsystem vor ähnliche Implementierungs-Barrieren gestellt.</w:t>
      </w:r>
    </w:p>
    <w:p>
      <w:r>
        <w:rPr>
          <w:color w:val="5A7D3A"/>
          <w:sz w:val="18"/>
        </w:rPr>
        <w:t>https://pubmed.ncbi.nlm.nih.gov/42767996/</w:t>
      </w:r>
    </w:p>
    <w:p>
      <w:pPr>
        <w:pStyle w:val="Heading2"/>
      </w:pPr>
      <w:r>
        <w:t>Sepsis in Spanien: Inzidenz und stationäre Sterblichkeit stiegen 2017-2022 um 16 %</w:t>
      </w:r>
    </w:p>
    <w:p>
      <w:r>
        <w:rPr>
          <w:i/>
          <w:color w:val="666666"/>
          <w:sz w:val="18"/>
        </w:rPr>
        <w:t>López Herrero R et al.  ·  Int J Infect Dis  ·  16.09.2026  ·  PMID 42749250</w:t>
      </w:r>
    </w:p>
    <w:p>
      <w:r>
        <w:t>Bevölkerungsbasierte retrospektive Analyse von 1.187.393 Sepsisfällen in Spanien anhand des Minimum Basic Data Set zur Beschreibung von Trends, Infektionsquellen und Gesundheitsbelastung.</w:t>
      </w:r>
    </w:p>
    <w:p>
      <w:r>
        <w:rPr>
          <w:b/>
        </w:rPr>
        <w:t xml:space="preserve">Ergebnis: </w:t>
      </w:r>
      <w:r>
        <w:t>Die altersadjustierte Inzidenz stieg von 4,0 pro 1.000 Einwohner 2017 auf 4,65 pro 1.000 2022; die stationäre Mortalität erhöhte sich von 19,4 % (2017) auf 23,7 % (2020, Pandemiepeak) und stabilisierte sich bei 20,8 % (2022). Atemwegs- und Harnwegsinfektionen waren führende Infektionsquellen; Patienten waren überwiegend älter (Mittelwert 74,3 Jahre) mit hoher Komorbiditätslast.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 administrative Datenerfassung; Pandemieffekt auf europäische Sepsisepidemiologie relevant.</w:t>
      </w:r>
    </w:p>
    <w:p>
      <w:r>
        <w:rPr>
          <w:color w:val="5A7D3A"/>
          <w:sz w:val="18"/>
        </w:rPr>
        <w:t>https://pubmed.ncbi.nlm.nih.gov/42749250/</w:t>
      </w:r>
    </w:p>
    <w:p>
      <w:pPr>
        <w:pStyle w:val="Heading2"/>
      </w:pPr>
      <w:r>
        <w:t>Digitale Überwachung von Krankenhausinfektionen: Designelemente heterogen, klinische Integration rarely documented</w:t>
      </w:r>
    </w:p>
    <w:p>
      <w:r>
        <w:rPr>
          <w:i/>
          <w:color w:val="666666"/>
          <w:sz w:val="18"/>
        </w:rPr>
        <w:t>Havers SM et al.  ·  J Hosp Infect  ·  02.09.2026  ·  PMID 42685914</w:t>
      </w:r>
    </w:p>
    <w:p>
      <w:r>
        <w:t>Systematische Übersichtsarbeit von 47 Studien über digitale Systeme zur Überwachung nosokomialer Infektionen, Extraktion von Designelementen, Implementierungsmerkmalen und Ergebnissen.</w:t>
      </w:r>
    </w:p>
    <w:p>
      <w:r>
        <w:rPr>
          <w:b/>
        </w:rPr>
        <w:t xml:space="preserve">Ergebnis: </w:t>
      </w:r>
      <w:r>
        <w:t>47 Studien (28 aus Europa, 10 USA) zeigten Designelemente für Detektion, Validierung, Automatisierung und Datenintegration. Systeme waren überwiegend intern entwickelt und staatlich finanziert. HAI-Ergebnisse heterogen, Integration in Routinepraxis selten beschrieben; Patientenauswirkungen wenig evaluiert. Effizienzvorteil teilweise gezeigt, aber fehlende Qualitäts- und Sicherheitsergebnisse behindern Bewertung.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europäische Evidenz, aber Heterogenität erfordert nationale Kontextanpassung für Deutschland.</w:t>
      </w:r>
    </w:p>
    <w:p>
      <w:r>
        <w:rPr>
          <w:color w:val="5A7D3A"/>
          <w:sz w:val="18"/>
        </w:rPr>
        <w:t>https://pubmed.ncbi.nlm.nih.gov/42685914/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2026-10-24T06:00:00Z</dcterms:created>
  <dcterms:modified xsi:type="dcterms:W3CDTF">2026-10-24T06:00:00Z</dcterms:modified>
  <cp:category/>
</cp:coreProperties>
</file>