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09.10.2026  |  6 Studien  |  safety.m-vf.de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Co-Design mit Sehbehinderten identifizierte drei Maßnahmen gegen Medikationsfehler in Apotheken</w:t>
      </w:r>
    </w:p>
    <w:p>
      <w:r>
        <w:rPr>
          <w:i/>
          <w:color w:val="666666"/>
          <w:sz w:val="18"/>
        </w:rPr>
        <w:t>Adeyemi I et al.  ·  Health Expect  ·  Okt. 2026  ·  PMID 42847501</w:t>
      </w:r>
    </w:p>
    <w:p>
      <w:r>
        <w:t>Nominale Gruppentechnik mit 7 sehbehinderten Personen und 6 Apothekenfachkräften zur Erkennung und Prävention von Medikationsfehlern in der Gemeinschaftsapotheke.</w:t>
      </w:r>
    </w:p>
    <w:p>
      <w:r>
        <w:rPr>
          <w:b/>
        </w:rPr>
        <w:t xml:space="preserve">Ergebnis: </w:t>
      </w:r>
      <w:r>
        <w:t>Teilnehmer identifizierten 12 Sicherheitsrisiken und 24 Lösungen; priorisiert wurden 3 Interventionen: (1) zugänglicher Patientensicherheitsleitfaden zur Kommunikation, (2) Schulungsvideo für Apotheker zum Verständnis von Sehbehindertenbedarfen, (3) EHR-Alerts/Pop-ups zur Identifikation dieser Patienten. Intervention wurde als praktisch und akzeptabel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vergleichbar mit deutschem Gemeinschaftsapothekensystem</w:t>
      </w:r>
    </w:p>
    <w:p>
      <w:r>
        <w:rPr>
          <w:color w:val="5A7D3A"/>
          <w:sz w:val="18"/>
        </w:rPr>
        <w:t>https://pubmed.ncbi.nlm.nih.gov/42847501/</w:t>
      </w:r>
    </w:p>
    <w:p>
      <w:pPr>
        <w:pStyle w:val="Heading2"/>
      </w:pPr>
      <w:r>
        <w:t>Whistleblower-System reduzierte Arbeitsunfälle signifikant auf chinesischen Industriebetrieben</w:t>
      </w:r>
    </w:p>
    <w:p>
      <w:r>
        <w:rPr>
          <w:i/>
          <w:color w:val="666666"/>
          <w:sz w:val="18"/>
        </w:rPr>
        <w:t>Liu L et al.  ·  Front Public Health  ·  23.09.2026  ·  PMID 42846635</w:t>
      </w:r>
    </w:p>
    <w:p>
      <w:r>
        <w:t>Longitudinale Panelstudie an 266 börsennotierten Unternehmen mit 3086 Unternehmens-Jahr-Beobachtungen zu Auswirkung von internen Meldungssystemen auf Arbeitssicherheit und zwei zugrunde liegende Mechanismen.</w:t>
      </w:r>
    </w:p>
    <w:p>
      <w:r>
        <w:rPr>
          <w:b/>
        </w:rPr>
        <w:t xml:space="preserve">Ergebnis: </w:t>
      </w:r>
      <w:r>
        <w:t>Betriebe mit Whistleblower-System zeigten signifikante Reduktion von Arbeitsunfällen (Todesfällen und Sterblichkeitsraten). Effekt vermittelt durch zwei Pfade: Ressourcen-Pfad (erhöhte Sicherheitsinvestitionen) und Governance-Pfad (verbesserte interne Kontrolle). Effekt war in Ostchina ausgeprägter. Mediation-Analysen bestätigten beide Mechanismen.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 Betriebsstruktur; Konzept der internen Sicherheitskultur und Meldesysteme relevant für deutsches Arbeitsschutzsystem</w:t>
      </w:r>
    </w:p>
    <w:p>
      <w:r>
        <w:rPr>
          <w:color w:val="5A7D3A"/>
          <w:sz w:val="18"/>
        </w:rPr>
        <w:t>https://pubmed.ncbi.nlm.nih.gov/42846635/</w:t>
      </w:r>
    </w:p>
    <w:p>
      <w:pPr>
        <w:pStyle w:val="Heading2"/>
      </w:pPr>
      <w:r>
        <w:t>Audit-Feedback zu Patientenschäden senkte unnötige Antibiotika nach Herzimplantat um 84 Prozent</w:t>
      </w:r>
    </w:p>
    <w:p>
      <w:r>
        <w:rPr>
          <w:i/>
          <w:color w:val="666666"/>
          <w:sz w:val="18"/>
        </w:rPr>
        <w:t>Branch-Elliman W et al.  ·  Front Public Health  ·  23.09.2026  ·  PMID 42846419</w:t>
      </w:r>
    </w:p>
    <w:p>
      <w:r>
        <w:t>Quasi-experimentelle Studie an 11 US-VA-Kliniken zur Deimplementierung guideline-discordanter Antibiotikaprophylaxe nach Herzimplantat-Operationen mittels Audit-Feedback, lokaler Champions und Schulung.</w:t>
      </w:r>
    </w:p>
    <w:p>
      <w:r>
        <w:rPr>
          <w:b/>
        </w:rPr>
        <w:t xml:space="preserve">Ergebnis: </w:t>
      </w:r>
      <w:r>
        <w:t>Guideline-Noncompliance sank nach Intervention in Kliniken signifikant (OR 0,16, 95% CI 0,12–0,21), während Kontrollkliniken unverändert blieben. Kein Anstieg nosokomialer Infektionen (OR 0,96, 95% CI 0,48–1,93), Trend zur Reduktion kombinierter Antibiotikaschäden (OR 0,59, p=0,059); in 12-Monats-Nachbeobachtung signifikante Schadensreduktion (aOR 0,57, 95% CI 0,34–0,91, p=0,02). Verbesserungen wurden über 12 Monate aufrechterhalten.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USA-VA-System mit anderer Finanzierung; Maßnahme (Audit-Feedback mit Benchmarking, Schulung) ist übertragbar</w:t>
      </w:r>
    </w:p>
    <w:p>
      <w:r>
        <w:rPr>
          <w:color w:val="5A7D3A"/>
          <w:sz w:val="18"/>
        </w:rPr>
        <w:t>https://pubmed.ncbi.nlm.nih.gov/42846419/</w:t>
      </w:r>
    </w:p>
    <w:p>
      <w:pPr>
        <w:pStyle w:val="Heading2"/>
      </w:pPr>
      <w:r>
        <w:t>88 Prozent unerwünschter Ereignisse nach ICU-Entlassung treten in ersten 48 Stunden auf</w:t>
      </w:r>
    </w:p>
    <w:p>
      <w:r>
        <w:rPr>
          <w:i/>
          <w:color w:val="666666"/>
          <w:sz w:val="18"/>
        </w:rPr>
        <w:t>Mahran GSK et al.  ·  Nurs Crit Care  ·  Nov. 2026  ·  PMID 42844803</w:t>
      </w:r>
    </w:p>
    <w:p>
      <w:r>
        <w:t>Prospektive Kohortenstudie an 207 Patienten beim Übergang von Intensivstation zur Normalstation an tertiatem Krankenhaus über 20 Monate zur Erfassung unerwünschter Ereignisse, deren Timing und Prädiktoren.</w:t>
      </w:r>
    </w:p>
    <w:p>
      <w:r>
        <w:rPr>
          <w:b/>
        </w:rPr>
        <w:t xml:space="preserve">Ergebnis: </w:t>
      </w:r>
      <w:r>
        <w:t>Unerwünschte Ereignisse bei 52/207 Patienten (25,1%): ICU-Readmission 46 (22,2%), nosokomiale Infektionen 29 (14,0%). 88% traten in den ersten 48 h auf (Tag 1: 56%, Tag 2: 32%). SWIFT-Score beste Vorhersagekraft (AUC 0,856). Fünf Risikofaktoren erklärten 88,5% der Ereignisse: Beatmung (OR 10,11), verlängerte ICU-Liegedauer (OR 6,40), Atemwegdiagnose (OR 4,99), &gt;3 invasive Geräte (OR 4,41), Komorbiditäten (OR 3,64).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Mehrländer-Studie, generalisierbare Risikofaktoren für deutsches Patientenmonitoring</w:t>
      </w:r>
    </w:p>
    <w:p>
      <w:r>
        <w:rPr>
          <w:color w:val="5A7D3A"/>
          <w:sz w:val="18"/>
        </w:rPr>
        <w:t>https://pubmed.ncbi.nlm.nih.gov/42844803/</w:t>
      </w:r>
    </w:p>
    <w:p>
      <w:pPr>
        <w:pStyle w:val="Heading2"/>
      </w:pPr>
      <w:r>
        <w:t>Blutplättchen-Parameter am 7. Tag prägen Sepsis-Prognose und lenken Therapieintensität</w:t>
      </w:r>
    </w:p>
    <w:p>
      <w:r>
        <w:rPr>
          <w:i/>
          <w:color w:val="666666"/>
          <w:sz w:val="18"/>
        </w:rPr>
        <w:t>Niu J et al.  ·  J Int Med Res  ·  07.10.2026  ·  PMID 42844573</w:t>
      </w:r>
    </w:p>
    <w:p>
      <w:r>
        <w:t>Retrospektive Studie an 48 Sepsispatienten und 34 Infektionspatienten zur prognostischen Aussagekraft serieller Blutplättchen-Parameter (Thrombozytenzahl, Plateletcrit, mittleres Plättchenvolumen, Thrombozyten-Verteilungsbreite) über 7 Tage.</w:t>
      </w:r>
    </w:p>
    <w:p>
      <w:r>
        <w:rPr>
          <w:b/>
        </w:rPr>
        <w:t xml:space="preserve">Ergebnis: </w:t>
      </w:r>
      <w:r>
        <w:t>Thrombozyten und Plateletcrit am Tag 7 zeigten signifikante Unterschiede zwischen Überlebenden und Nicht-Überlebenden (beide p&lt;0,05). Thrombozytenzahl beste diagnostische Aussagekraft für Sepsis: AUC 0,864, Sensitivität 94,12%, Spezifität 73,47%. Negative Korrelation mit SOFA-Score (r=−0,657, p&lt;0,05). Dynamische Überwachung zum Tag 7 kann aggressive Behandlungsstrategien leiten.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generalisierbare Biomarker-Messungen anwendbar auf deutsche Intensivmedizin</w:t>
      </w:r>
    </w:p>
    <w:p>
      <w:r>
        <w:rPr>
          <w:color w:val="5A7D3A"/>
          <w:sz w:val="18"/>
        </w:rPr>
        <w:t>https://pubmed.ncbi.nlm.nih.gov/42844573/</w:t>
      </w:r>
    </w:p>
    <w:p>
      <w:pPr>
        <w:pStyle w:val="Heading2"/>
      </w:pPr>
      <w:r>
        <w:t>Vergrabene K-Drähte in Kindertraumatologie: Infektionsrate 0,16 Prozent bei 634 Patienten</w:t>
      </w:r>
    </w:p>
    <w:p>
      <w:r>
        <w:rPr>
          <w:i/>
          <w:color w:val="666666"/>
          <w:sz w:val="18"/>
        </w:rPr>
        <w:t>Zimmermann A et al.  ·  Eur J Orthop Surg Traumatol  ·  06.10.2026  ·  PMID 42836880</w:t>
      </w:r>
    </w:p>
    <w:p>
      <w:r>
        <w:t>Retrospektive Kohortenstudie deutscher Level-I-Unfallklinik an 634 Kindern mit vergrabenen Kirschner-Drähten zur Frakturversorgung mit Verfolgung bis Drahtentfernung.</w:t>
      </w:r>
    </w:p>
    <w:p>
      <w:r>
        <w:rPr>
          <w:b/>
        </w:rPr>
        <w:t xml:space="preserve">Ergebnis: </w:t>
      </w:r>
      <w:r>
        <w:t>Von 634 Kindern (Mittelalt. 10,2±4,2 Jahre, 96,8% Obergliedmaßen) entwickelten nur 1 (0,16%, 95% CI 0,00–0,88%) oberflächliche Infektion, 0 Tiefeninfektionen/Osteomyelitis. Sekundäre Hautperforation ohne Infektion 8,36%, minimale Wundheilungsstörungen 0,32%. Alle Frakturen heilten radiographisch aus, 0 infektionsbedingte Reoperationen.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(Universitätsklinik Bonn), direkt auf DACH-Praxis übertragbar</w:t>
      </w:r>
    </w:p>
    <w:p>
      <w:r>
        <w:rPr>
          <w:color w:val="5A7D3A"/>
          <w:sz w:val="18"/>
        </w:rPr>
        <w:t>https://pubmed.ncbi.nlm.nih.gov/42836880/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