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Patientensicherheit</w:t>
      </w:r>
    </w:p>
    <w:p>
      <w:r>
        <w:rPr>
          <w:i/>
          <w:color w:val="666666"/>
          <w:sz w:val="18"/>
        </w:rPr>
        <w:t>Stand: 27.10.2026  |  381 Studien  |  safety.m-vf.de</w:t>
      </w:r>
    </w:p>
    <w:p>
      <w:pPr>
        <w:pStyle w:val="Heading1"/>
      </w:pPr>
      <w:r>
        <w:t>Aufgenommen am 27.10.2026</w:t>
      </w:r>
    </w:p>
    <w:p>
      <w:pPr>
        <w:pStyle w:val="Heading2"/>
      </w:pPr>
      <w:r>
        <w:t>Mesh-Infektionen nach Hernienchirurgie sind kein Haftungszeichen ohne Nachweis fehlender Prävention</w:t>
      </w:r>
    </w:p>
    <w:p>
      <w:r>
        <w:rPr>
          <w:i/>
          <w:color w:val="666666"/>
          <w:sz w:val="18"/>
        </w:rPr>
        <w:t>Matteucci M et al.  ·  Hernia  ·  26.10.2026  ·  PMID 42931966</w:t>
      </w:r>
    </w:p>
    <w:p>
      <w:r>
        <w:t>Italienische retrospektive Analyse von 14 gerichtlichen Entscheidungen (13 klinische Episoden) zu Mesh-Infektionen nach Bauchwandhernienreparatur; Fokus auf medizinisch-rechtliche Merkmale, CTU-Bewertungen und Haftungsurteile.</w:t>
      </w:r>
    </w:p>
    <w:p>
      <w:r>
        <w:rPr>
          <w:b/>
        </w:rPr>
        <w:t xml:space="preserve">Ergebnis: </w:t>
      </w:r>
      <w:r>
        <w:t>Kausalzusammenhang zwischen Perioperativmanagement und Infektion wurde in 46,2 % (6/13 Fälle) nachgewiesen und ausgeschlossen in den übrigen. Haftung war häufiger assoziiert mit Unvermögen, Einhaltung akzeptierter Präventionsstandards zu belegen als mit bloßem Auftreten der Infektion. Mängel bei Aufklärung waren häufig erwähnt, führten aber nicht eigenständig zu Entschädigung.</w:t>
      </w:r>
    </w:p>
    <w:p>
      <w:r>
        <w:rPr>
          <w:b/>
          <w:sz w:val="19"/>
        </w:rPr>
        <w:t xml:space="preserve">Übertragbarkeit: </w:t>
      </w:r>
      <w:r>
        <w:rPr>
          <w:sz w:val="19"/>
        </w:rPr>
        <w:t>Italien, italienisches Haftungsrecht ohne Verschuldungsvermutung; Deutschland: anderes Entschädigungssystem mit § 630h BGB</w:t>
      </w:r>
    </w:p>
    <w:p>
      <w:r>
        <w:rPr>
          <w:color w:val="5A7D3A"/>
          <w:sz w:val="18"/>
        </w:rPr>
        <w:t>https://pubmed.ncbi.nlm.nih.gov/42931966/</w:t>
      </w:r>
    </w:p>
    <w:p>
      <w:pPr>
        <w:pStyle w:val="Heading2"/>
      </w:pPr>
      <w:r>
        <w:t>Risiko-adjustiertes Benchmarking senkt Sepsis-Sterblichkeit in katalanischem Überwachungssystem</w:t>
      </w:r>
    </w:p>
    <w:p>
      <w:r>
        <w:rPr>
          <w:i/>
          <w:color w:val="666666"/>
          <w:sz w:val="18"/>
        </w:rPr>
        <w:t>Reina-Aguilar C et al.  ·  Med Sci (Basel)  ·  29.09.2026  ·  PMID 42930535</w:t>
      </w:r>
    </w:p>
    <w:p>
      <w:r>
        <w:t>Katalanisches populationsbasiertes administratives Überwachungssystem (RADAR-Septic Shock) erfasste alle 37.855 Episoden septischen Schocks 2018–2024 und analysierte Epidemiologie, Outcome und Variations in Mortalität zwischen Krankenhäusern mittels Observed-to-Expected-Ratios.</w:t>
      </w:r>
    </w:p>
    <w:p>
      <w:r>
        <w:rPr>
          <w:b/>
        </w:rPr>
        <w:t xml:space="preserve">Ergebnis: </w:t>
      </w:r>
      <w:r>
        <w:t>2024 wurden 6.522 Episoden erfasst (Inzidenz 80,28 pro 100.000 Einwohner/Jahr). Gesamt-Krankenhaussterblichkeit 36,7 %, steigend auf 49,5 % bei nosokomialem septischem Schock. Mortalität sank über den Studienzeitraum kontinuierlich, außer während COVID-19-Pandemie. Risk-adjustiertes Benchmarking identifizierte erhebliche Outcome-Variation zwischen Kliniken, unterstützend für Qualitätsverbesserungen.</w:t>
      </w:r>
    </w:p>
    <w:p>
      <w:r>
        <w:rPr>
          <w:b/>
          <w:sz w:val="19"/>
        </w:rPr>
        <w:t xml:space="preserve">Übertragbarkeit: </w:t>
      </w:r>
      <w:r>
        <w:rPr>
          <w:sz w:val="19"/>
        </w:rPr>
        <w:t>Spanien/Katalonien, administratives System ähnlich deutschem DRG-Kontext, europäisch vergleichbar</w:t>
      </w:r>
    </w:p>
    <w:p>
      <w:r>
        <w:rPr>
          <w:color w:val="5A7D3A"/>
          <w:sz w:val="18"/>
        </w:rPr>
        <w:t>https://pubmed.ncbi.nlm.nih.gov/42930535/</w:t>
      </w:r>
    </w:p>
    <w:p>
      <w:pPr>
        <w:pStyle w:val="Heading2"/>
      </w:pPr>
      <w:r>
        <w:t>Strukturierter Konsens zu Endotoxin-Hemoadsorption verbessert Implementierung im septischen Schock</w:t>
      </w:r>
    </w:p>
    <w:p>
      <w:r>
        <w:rPr>
          <w:i/>
          <w:color w:val="666666"/>
          <w:sz w:val="18"/>
        </w:rPr>
        <w:t>Yessayan L et al.  ·  Crit Care  ·  29.07.2026  ·  PMID 42928302</w:t>
      </w:r>
    </w:p>
    <w:p>
      <w:r>
        <w:t>Modifizierter Delphi-Prozess mit 10 Expertinnen und Experten (Intensivmedizin, Nephrologie) zu Kriterien für Patient*innenauswahl, Endotoxin-Activity-Assay-Interpretation und praktische Anwendung von Polymyxin-B-Hemoadsorption (PMX-HA) bei septischem Schock.</w:t>
      </w:r>
    </w:p>
    <w:p>
      <w:r>
        <w:rPr>
          <w:b/>
        </w:rPr>
        <w:t xml:space="preserve">Ergebnis: </w:t>
      </w:r>
      <w:r>
        <w:t>Konsens (≥80 %) erreicht in 20 Aussagen über drei Domänen: (1) Kriterien zur Endotoxämie-Prüfung; (2) EAA-Schwellwert ≥0,60 und &lt;0,90 zur PMX-HA-Erwägung; (3) frühestmöglicher Therapiebeginn (≤36 h nach Schock-Beginn), zwei Sitzungen 24 h auseinander, je 120 min, Multidisziplinarmodell. Identifizierte Forschungsprioritäten: Behandlungseffekt-Heterogenität, EAA-Kinetik, Implementierung.</w:t>
      </w:r>
    </w:p>
    <w:p>
      <w:r>
        <w:rPr>
          <w:b/>
          <w:sz w:val="19"/>
        </w:rPr>
        <w:t xml:space="preserve">Übertragbarkeit: </w:t>
      </w:r>
      <w:r>
        <w:rPr>
          <w:sz w:val="19"/>
        </w:rPr>
        <w:t>USA/internationale Expert*innen, Gerüst für Versorgungsumsetzung auch in Deutschland nutzbar</w:t>
      </w:r>
    </w:p>
    <w:p>
      <w:r>
        <w:rPr>
          <w:color w:val="5A7D3A"/>
          <w:sz w:val="18"/>
        </w:rPr>
        <w:t>https://pubmed.ncbi.nlm.nih.gov/42928302/</w:t>
      </w:r>
    </w:p>
    <w:p>
      <w:pPr>
        <w:pStyle w:val="Heading2"/>
      </w:pPr>
      <w:r>
        <w:t>Unangemessene Medikation erhöht Hospitalisierungen bei älteren Patienten um 118 %</w:t>
      </w:r>
    </w:p>
    <w:p>
      <w:r>
        <w:rPr>
          <w:i/>
          <w:color w:val="666666"/>
          <w:sz w:val="18"/>
        </w:rPr>
        <w:t>Lim J et al.  ·  BMC Geriatr  ·  28.07.2026  ·  PMID 42928106</w:t>
      </w:r>
    </w:p>
    <w:p>
      <w:r>
        <w:t>Südkoreanische propensity-score-gematchte Kohortenstudie (NHIS-ECDB 2015–2018) zu Assoziation zwischen Medikationsfehlern (PIM) und Hospitalisierungs-, Notfall- und Kostenfolgen bei älteren Erwachsenen (≥65 Jahre).</w:t>
      </w:r>
    </w:p>
    <w:p>
      <w:r>
        <w:rPr>
          <w:b/>
        </w:rPr>
        <w:t xml:space="preserve">Ergebnis: </w:t>
      </w:r>
      <w:r>
        <w:t>3.896 gematched Patienten (1.948 PIM-Nutzer, 1.948 Kontrollen). PIM-Nutzer hatten signifikant höheres Hospitalisierungsrisiko (adjustierte HR 2,18, 95%-KI 1,81–2,63) und Notfallbesuche (aHR 3,08, 95%-KI 2,01–4,72). Gesamtkosten 40 % höher (adjustierte Kostenrate 1,4, 95%-KI 1,35–1,54). Mehr PIMs korreliert mit höheren Kosten.</w:t>
      </w:r>
    </w:p>
    <w:p>
      <w:r>
        <w:rPr>
          <w:b/>
          <w:sz w:val="19"/>
        </w:rPr>
        <w:t xml:space="preserve">Übertragbarkeit: </w:t>
      </w:r>
      <w:r>
        <w:rPr>
          <w:sz w:val="19"/>
        </w:rPr>
        <w:t>Südkorea, ähnliche Versicherungsstruktur, Befund zu Medikationsfehlern übertragbar</w:t>
      </w:r>
    </w:p>
    <w:p>
      <w:r>
        <w:rPr>
          <w:color w:val="5A7D3A"/>
          <w:sz w:val="18"/>
        </w:rPr>
        <w:t>https://pubmed.ncbi.nlm.nih.gov/42928106/</w:t>
      </w:r>
    </w:p>
    <w:p>
      <w:pPr>
        <w:pStyle w:val="Heading2"/>
      </w:pPr>
      <w:r>
        <w:t>Ambulante intravenöse Antibiotikabehandlung reduziert Infektions-Rehospitalisierung bei komplexen Patienten</w:t>
      </w:r>
    </w:p>
    <w:p>
      <w:r>
        <w:rPr>
          <w:i/>
          <w:color w:val="666666"/>
          <w:sz w:val="18"/>
        </w:rPr>
        <w:t>Noble AL et al.  ·  J Antimicrob Chemother  ·  06.10.2026  ·  PMID 42910527</w:t>
      </w:r>
    </w:p>
    <w:p>
      <w:r>
        <w:t>Britische aktualisierte Empfehlungen zu ambulanter parenteraler Antibiotikabehandlung (OPAT) basierend auf systematischer Literaturrecherche und Expertenkonsens mit fünf neuen und zwei geänderten Empfehlungen zu Eigenverabreichung, vulnerable Gruppen, Patient*innen-Schulung und Überwachungsprotokolle.</w:t>
      </w:r>
    </w:p>
    <w:p>
      <w:r>
        <w:rPr>
          <w:b/>
        </w:rPr>
        <w:t xml:space="preserve">Ergebnis: </w:t>
      </w:r>
      <w:r>
        <w:t>Empfehlungen betonen Selbstverabreichung, individualisierte Schulung, erweiterte Monitoringprotokolle bei komplexen oralen Regimen und neuen parenteralen Routen sowie gerechte Versorgungszugang. Literatur dokumentiert steigende Sicherheit von OPAT bei komplexen und komorbiditätsreichen Patient*innen sowie Verbesserung von Antibiotic Stewardship und klinischer Versorgung.</w:t>
      </w:r>
    </w:p>
    <w:p>
      <w:r>
        <w:rPr>
          <w:b/>
          <w:sz w:val="19"/>
        </w:rPr>
        <w:t xml:space="preserve">Übertragbarkeit: </w:t>
      </w:r>
      <w:r>
        <w:rPr>
          <w:sz w:val="19"/>
        </w:rPr>
        <w:t>Grossbritannien, europäisches Gesundheitssystem, Stewardship-Konzepte auch auf Deutschland übertragbar</w:t>
      </w:r>
    </w:p>
    <w:p>
      <w:r>
        <w:rPr>
          <w:color w:val="5A7D3A"/>
          <w:sz w:val="18"/>
        </w:rPr>
        <w:t>https://pubmed.ncbi.nlm.nih.gov/42910527/</w:t>
      </w:r>
    </w:p>
    <w:p>
      <w:pPr>
        <w:pStyle w:val="Heading2"/>
      </w:pPr>
      <w:r>
        <w:t>Frühe Erkennung senkt Langzeitfolgen bei Streptokokken-Gelenkinfektionen bei Kindern</w:t>
      </w:r>
    </w:p>
    <w:p>
      <w:r>
        <w:rPr>
          <w:i/>
          <w:color w:val="666666"/>
          <w:sz w:val="18"/>
        </w:rPr>
        <w:t>Pigeolet M et al.  ·  J Infect  ·  10.09.2026  ·  PMID 42722237</w:t>
      </w:r>
    </w:p>
    <w:p>
      <w:r>
        <w:t>Nationale französische Kohortenstudie mit verschachteltem Fall-Kontroll-Design zu Epidemiologie und Langzeitfolgen von Gelenkinfektionen mit Gruppe-A-Streptokokken (GAS) versus anderen Erregern bei Kindern 2010–2023.</w:t>
      </w:r>
    </w:p>
    <w:p>
      <w:r>
        <w:rPr>
          <w:b/>
        </w:rPr>
        <w:t xml:space="preserve">Ergebnis: </w:t>
      </w:r>
      <w:r>
        <w:t>Verzögerter Symptombeginn bis zur Behandlung war unabhängiger Prädiktor schlechterer Outcomes: Jeder zusätzliche Tag Symptomatik vor Therapie erhöhte Folgeschäden um 8 % (OR 1,08 pro Tag, 95%-KI 1,03–1,12). Concurrent-Osteomyelitis und Reintervention waren assoziiert mit Folgeschäden (OR 4,47 bzw. 3,64). GAS verursachte etwa ein Drittel der Fälle mit Sequelzen vergleichbar zu S. aureus (24,8 % vs. 41,7 %).</w:t>
      </w:r>
    </w:p>
    <w:p>
      <w:r>
        <w:rPr>
          <w:b/>
          <w:sz w:val="19"/>
        </w:rPr>
        <w:t xml:space="preserve">Übertragbarkeit: </w:t>
      </w:r>
      <w:r>
        <w:rPr>
          <w:sz w:val="19"/>
        </w:rPr>
        <w:t>Frankreich, deutsche Gesundheitssysteme ähnlich, nationale Kohortendaten vergleichbar</w:t>
      </w:r>
    </w:p>
    <w:p>
      <w:r>
        <w:rPr>
          <w:color w:val="5A7D3A"/>
          <w:sz w:val="18"/>
        </w:rPr>
        <w:t>https://pubmed.ncbi.nlm.nih.gov/42722237/</w:t>
      </w:r>
    </w:p>
    <w:p>
      <w:pPr>
        <w:pStyle w:val="Heading1"/>
      </w:pPr>
      <w:r>
        <w:t>Aufgenommen am 26.10.2026</w:t>
      </w:r>
    </w:p>
    <w:p>
      <w:pPr>
        <w:pStyle w:val="Heading2"/>
      </w:pPr>
      <w:r>
        <w:t>Infektionspräventions-Bundles auf Intensivstationen senken nosokomiale Infektionen um bis zu 63 %</w:t>
      </w:r>
    </w:p>
    <w:p>
      <w:r>
        <w:rPr>
          <w:i/>
          <w:color w:val="666666"/>
          <w:sz w:val="18"/>
        </w:rPr>
        <w:t>Ageel MA et al.  ·  Clin Ter  ·  Nov. 2026  ·  PMID 42922243</w:t>
      </w:r>
    </w:p>
    <w:p>
      <w:r>
        <w:t>Systematische Übersicht von 17 Studien zu Qualitätsverbesserungsmaßnahmen gegen Krankenhausinfektionen bei neurochirurgischen ICU-Patienten, mit Fokus auf Device-assoziierte Infektionen.</w:t>
      </w:r>
    </w:p>
    <w:p>
      <w:r>
        <w:rPr>
          <w:b/>
        </w:rPr>
        <w:t xml:space="preserve">Ergebnis: </w:t>
      </w:r>
      <w:r>
        <w:t>EVD-spezifische Care-Bundles senkten EVD-assoziierte Infektionen von 14,35 auf 3,21 pro 1.000 Kathetertage (77 % Reduktion). VAP-Raten sanken von 68,2 auf 47,4 pro 1.000 Beatmungstage, CAUTI von 24,9 auf 13,4 pro 1.000 Kathetertage. Eine Studie meldete 20 aufeinanderfolgende infektionsfreie Monate. CLABSI-Raten erreichten null in einer Studie mit kontinuierlichem Monitoring.</w:t>
      </w:r>
    </w:p>
    <w:p>
      <w:r>
        <w:rPr>
          <w:b/>
          <w:sz w:val="19"/>
        </w:rPr>
        <w:t xml:space="preserve">Übertragbarkeit: </w:t>
      </w:r>
      <w:r>
        <w:rPr>
          <w:sz w:val="19"/>
        </w:rPr>
        <w:t>Studien aus 14 Ländern, überwiegend standardisierte Protokolle, auf deutsche Strukturen übertragbar</w:t>
      </w:r>
    </w:p>
    <w:p>
      <w:r>
        <w:rPr>
          <w:color w:val="5A7D3A"/>
          <w:sz w:val="18"/>
        </w:rPr>
        <w:t>https://pubmed.ncbi.nlm.nih.gov/42922243/</w:t>
      </w:r>
    </w:p>
    <w:p>
      <w:pPr>
        <w:pStyle w:val="Heading2"/>
      </w:pPr>
      <w:r>
        <w:t>Infektionsprävention in Psychiatrien: Multidisziplinäre Intervention senkt MRSA und CRPA</w:t>
      </w:r>
    </w:p>
    <w:p>
      <w:r>
        <w:rPr>
          <w:i/>
          <w:color w:val="666666"/>
          <w:sz w:val="18"/>
        </w:rPr>
        <w:t>Du J et al.  ·  Front Cell Infect Microbiol  ·  09.10.2026  ·  PMID 42920550</w:t>
      </w:r>
    </w:p>
    <w:p>
      <w:r>
        <w:t>Entwicklung und Anwendung des MISCP-S-Modells (Multidisziplinäre Zusammenarbeit, Informatisierung, Staffelschulung, Anreize, Prozessoptimierung) in einer psychiatrischen Tertiärklinik mit Vergleich von 1343 Fällen vorher und 677 nachher.</w:t>
      </w:r>
    </w:p>
    <w:p>
      <w:r>
        <w:rPr>
          <w:b/>
        </w:rPr>
        <w:t xml:space="preserve">Ergebnis: </w:t>
      </w:r>
      <w:r>
        <w:t>Pathogendetektions-Beprobungsrate stieg von 69,47 % auf 98,38 %. Testangemessenheit: 100 %. Therapeutische Antibiotikaverwendung sank von 16,03 % auf 14,61 %. Multidrug-resistente Organismen (MDRO) sanken von 37,44 % auf 33,74 %. MRSA-Nachweise sanken, ebenso carbapenem-resistente Pseudomonas aeruginosa. Carbapenem-resistente Enterobacterales stiegen von 14,35 % auf 23,56 %.</w:t>
      </w:r>
    </w:p>
    <w:p>
      <w:r>
        <w:rPr>
          <w:b/>
          <w:sz w:val="19"/>
        </w:rPr>
        <w:t xml:space="preserve">Übertragbarkeit: </w:t>
      </w:r>
      <w:r>
        <w:rPr>
          <w:sz w:val="19"/>
        </w:rPr>
        <w:t>China, psychiatrische Spezialisierung; zeigt Potenzial für adaptierte Stewardship-Modelle</w:t>
      </w:r>
    </w:p>
    <w:p>
      <w:r>
        <w:rPr>
          <w:color w:val="5A7D3A"/>
          <w:sz w:val="18"/>
        </w:rPr>
        <w:t>https://pubmed.ncbi.nlm.nih.gov/42920550/</w:t>
      </w:r>
    </w:p>
    <w:p>
      <w:pPr>
        <w:pStyle w:val="Heading2"/>
      </w:pPr>
      <w:r>
        <w:t>Strukturiertes AMR-Surveillance stärkt Stewardship-Wissen und Praxis in Krankenhäusern Malawis</w:t>
      </w:r>
    </w:p>
    <w:p>
      <w:r>
        <w:rPr>
          <w:i/>
          <w:color w:val="666666"/>
          <w:sz w:val="18"/>
        </w:rPr>
        <w:t>Matemvu Z et al.  ·  Antimicrob Resist Infect Control  ·  27.07.2026  ·  PMID 42920193</w:t>
      </w:r>
    </w:p>
    <w:p>
      <w:r>
        <w:t>Quasi-experimentale Evaluierung einer dreijährigen AMR-Überwachungs- und Kapazitätsaufbau-Intervention an einem Tertiärkrankenhaus in Malawi mit Assessments von Fachkräften und Patientenaktenreview.</w:t>
      </w:r>
    </w:p>
    <w:p>
      <w:r>
        <w:rPr>
          <w:b/>
        </w:rPr>
        <w:t xml:space="preserve">Ergebnis: </w:t>
      </w:r>
      <w:r>
        <w:t>Wissen des nationalen AMR-Aktionsplans stieg von 13,6 % auf 45,6 %. Laboranforderungsformulare komplett ausgefüllt: 48,6 % auf 73,9 %. Klinische Resistenztestung verbesserte sich. Empirische Antibiotikaverordnung bei Aufnahme änderte sich nicht signifikant. Wissens-Praxis-Lücke blieb bestehen. Verbesserungen durch nationale Politikalignment und Krankenhausleitung gefördert; elektronische Systeme und Praxiswechsel limitierten Fortschritt.</w:t>
      </w:r>
    </w:p>
    <w:p>
      <w:r>
        <w:rPr>
          <w:b/>
          <w:sz w:val="19"/>
        </w:rPr>
        <w:t xml:space="preserve">Übertragbarkeit: </w:t>
      </w:r>
      <w:r>
        <w:rPr>
          <w:sz w:val="19"/>
        </w:rPr>
        <w:t>Malawi, ressourcenlimitiert; zeigt Machbarkeit strukturierter Überwachung auch in ärmeren Settings</w:t>
      </w:r>
    </w:p>
    <w:p>
      <w:r>
        <w:rPr>
          <w:color w:val="5A7D3A"/>
          <w:sz w:val="18"/>
        </w:rPr>
        <w:t>https://pubmed.ncbi.nlm.nih.gov/42920193/</w:t>
      </w:r>
    </w:p>
    <w:p>
      <w:pPr>
        <w:pStyle w:val="Heading2"/>
      </w:pPr>
      <w:r>
        <w:t>Inflammatorischer Belastungsindex unterscheidet Sepsis von unkomplizierter Pneumonie bei Neugeborenen</w:t>
      </w:r>
    </w:p>
    <w:p>
      <w:r>
        <w:rPr>
          <w:i/>
          <w:color w:val="666666"/>
          <w:sz w:val="18"/>
        </w:rPr>
        <w:t>Li C et al.  ·  BMC Infect Dis  ·  12.10.2026  ·  PMID 42919222</w:t>
      </w:r>
    </w:p>
    <w:p>
      <w:r>
        <w:t>Retrospektive Analyse von 1383 hospitalisierten Neugeborenen (935 mit Pneumonie, 448 mit Pneumonie kompliziert durch Sepsis) zur Bewertung des inflammatorischen Belastungsindex (IBI) als Differenzierungsmarker.</w:t>
      </w:r>
    </w:p>
    <w:p>
      <w:r>
        <w:rPr>
          <w:b/>
        </w:rPr>
        <w:t xml:space="preserve">Ergebnis: </w:t>
      </w:r>
      <w:r>
        <w:t>IBI-Werte signifikant höher in der Sepsis-Gruppe (p &lt; 0,001). Nach Adjustierung für Confounder blieb erhöhtes IBI unabhängig mit erhöhter Sepsisprävalenz assoziiert. ROC-Analyse: AUC 0,76 (95 % KI 0,73–0,79, p &lt; 0,001). IBI als nicht-invasiver Begleitmarker bei initialer Sepsisbewertung geeignet.</w:t>
      </w:r>
    </w:p>
    <w:p>
      <w:r>
        <w:rPr>
          <w:b/>
          <w:sz w:val="19"/>
        </w:rPr>
        <w:t xml:space="preserve">Übertragbarkeit: </w:t>
      </w:r>
      <w:r>
        <w:rPr>
          <w:sz w:val="19"/>
        </w:rPr>
        <w:t>China, Neonatologie; biomarkergestützte Diagnostik universal anwendbar</w:t>
      </w:r>
    </w:p>
    <w:p>
      <w:r>
        <w:rPr>
          <w:color w:val="5A7D3A"/>
          <w:sz w:val="18"/>
        </w:rPr>
        <w:t>https://pubmed.ncbi.nlm.nih.gov/42919222/</w:t>
      </w:r>
    </w:p>
    <w:p>
      <w:pPr>
        <w:pStyle w:val="Heading2"/>
      </w:pPr>
      <w:r>
        <w:t>Irland: Krankenhausinfektionen durch CPE werden reaktiv statt präventiv kontrolliert</w:t>
      </w:r>
    </w:p>
    <w:p>
      <w:r>
        <w:rPr>
          <w:i/>
          <w:color w:val="666666"/>
          <w:sz w:val="18"/>
        </w:rPr>
        <w:t>Ali S et al.  ·  J Hosp Infect  ·  09.09.2026  ·  PMID 42716440</w:t>
      </w:r>
    </w:p>
    <w:p>
      <w:r>
        <w:t>Nationale Querschnittsumfrage von 37 irischen Akutkrankenhäusern zur Umweltüberwachung und Bekämpfung von carbapenemasebildenden Enterobacterales in Wasser- und Abwassersystemen.</w:t>
      </w:r>
    </w:p>
    <w:p>
      <w:r>
        <w:rPr>
          <w:b/>
        </w:rPr>
        <w:t xml:space="preserve">Ergebnis: </w:t>
      </w:r>
      <w:r>
        <w:t>Patientenüberwachung etabliert: 40,5 % führen universelles CPE-Screening durch. Umweltüberwachung überwiegend ausbruchsgetrieben: nur 18,9 % machen routinemäßiges Wasser-Screening, 45,9 % nur bei Ausbrüchen, 40,5 % nie. Chemische Desinfektion 59,5 %, Wärmebehandlung 18,9 %, keine Strategie 29,7 %. Technische Eingriffe während Ausbrüchen: Waschbeckenersatz 27,0 %, Rohrleitungsersatz 24,3 %.</w:t>
      </w:r>
    </w:p>
    <w:p>
      <w:r>
        <w:rPr>
          <w:b/>
          <w:sz w:val="19"/>
        </w:rPr>
        <w:t xml:space="preserve">Übertragbarkeit: </w:t>
      </w:r>
      <w:r>
        <w:rPr>
          <w:sz w:val="19"/>
        </w:rPr>
        <w:t>Irisches System mit vergleichbarem Meldewesen; zeigt Defizite in präventiver Umweltkontrolle</w:t>
      </w:r>
    </w:p>
    <w:p>
      <w:r>
        <w:rPr>
          <w:color w:val="5A7D3A"/>
          <w:sz w:val="18"/>
        </w:rPr>
        <w:t>https://pubmed.ncbi.nlm.nih.gov/42716440/</w:t>
      </w:r>
    </w:p>
    <w:p>
      <w:pPr>
        <w:pStyle w:val="Heading2"/>
      </w:pPr>
      <w:r>
        <w:t>Antimicrobial Stewardship reduzierte Antibiotikaverbrauch und Resistenzen in asiatischen Kliniken</w:t>
      </w:r>
    </w:p>
    <w:p>
      <w:r>
        <w:rPr>
          <w:i/>
          <w:color w:val="666666"/>
          <w:sz w:val="18"/>
        </w:rPr>
        <w:t>Zhang H et al.  ·  J Hosp Infect  ·  02.09.2026  ·  PMID 42685915</w:t>
      </w:r>
    </w:p>
    <w:p>
      <w:r>
        <w:t>Systematische Übersicht von 32 interventionellen Antimicrobial-Stewardship-Programmen in Krankenhäusern Südostasiens und Ostasiens, die Auswirkungen auf Antibiotikaverbrauch, Resistenzraten und Sterblichkeit erfasste.</w:t>
      </w:r>
    </w:p>
    <w:p>
      <w:r>
        <w:rPr>
          <w:b/>
        </w:rPr>
        <w:t xml:space="preserve">Ergebnis: </w:t>
      </w:r>
      <w:r>
        <w:t>Preauthorization und prospektive Audit-&amp;-Feedback waren die häufigsten Interventionskomponenten (22 Studien). Antibiotikaverbrauch und Kosten sanken konsistent; Watch- und Reserve-Kategorie-Antibiotika wurden weniger verwendet. Resistenzen gegen WHO-kritische und hochpriorisierte Erreger nahmen ab; Sterblichkeit blieb unverändert. Heterogenität in Diagnostik und Berichtsstandards bestanden fort.</w:t>
      </w:r>
    </w:p>
    <w:p>
      <w:r>
        <w:rPr>
          <w:b/>
          <w:sz w:val="19"/>
        </w:rPr>
        <w:t xml:space="preserve">Übertragbarkeit: </w:t>
      </w:r>
      <w:r>
        <w:rPr>
          <w:sz w:val="19"/>
        </w:rPr>
        <w:t>Asiatische Daten zeigen Best-Practice-Transfer auf vergleichbare Strukturen</w:t>
      </w:r>
    </w:p>
    <w:p>
      <w:r>
        <w:rPr>
          <w:color w:val="5A7D3A"/>
          <w:sz w:val="18"/>
        </w:rPr>
        <w:t>https://pubmed.ncbi.nlm.nih.gov/42685915/</w:t>
      </w:r>
    </w:p>
    <w:p>
      <w:pPr>
        <w:pStyle w:val="Heading1"/>
      </w:pPr>
      <w:r>
        <w:t>Aufgenommen am 25.10.2026</w:t>
      </w:r>
    </w:p>
    <w:p>
      <w:pPr>
        <w:pStyle w:val="Heading2"/>
      </w:pPr>
      <w:r>
        <w:t>Expertenkonsens zur Referenzdatenerstellung f ür Früherkennung nosokomialer Ausbrüche</w:t>
      </w:r>
    </w:p>
    <w:p>
      <w:r>
        <w:rPr>
          <w:i/>
          <w:color w:val="666666"/>
          <w:sz w:val="18"/>
        </w:rPr>
        <w:t>Leclère B et al.  ·  J Hosp Infect  ·  11.09.2026  ·  PMID 42727816</w:t>
      </w:r>
    </w:p>
    <w:p>
      <w:r>
        <w:t>Konsens- studieüber die Entwicklung von Referenzdatensätzen zur Validierung von Ausbrucherkennungs-Algorithmen in Krankenhäusern durch Experten bewertung.</w:t>
      </w:r>
    </w:p>
    <w:p>
      <w:r>
        <w:rPr>
          <w:b/>
        </w:rPr>
        <w:t xml:space="preserve">Ergebnis: </w:t>
      </w:r>
      <w:r>
        <w:t>25 Experten aus Kanada und Frankreich identifizierten in 36 Zeitreihen (1899 Überwachungswochen) 89 potenzielle Ausbruchzeiten mittels Mehrheitsvotum und 96 durch Hidden-Markov-Modell. Die Übereinst immung zwischen den Methoden war am stärksten für hochwahrscheinliche Ausbruchwochen. Ein zuverlässiger Referenzdatensatz für Entwicklung und Vergleich von Erkennungsalgorithmen wurde konstruiert.</w:t>
      </w:r>
    </w:p>
    <w:p>
      <w:r>
        <w:rPr>
          <w:b/>
          <w:sz w:val="19"/>
        </w:rPr>
        <w:t xml:space="preserve">Übertragbarkeit: </w:t>
      </w:r>
      <w:r>
        <w:rPr>
          <w:sz w:val="19"/>
        </w:rPr>
        <w:t>Frankreich und Kanada, vergleichbares Surveillance-Verständnis, methodologische Übertragbarkeit</w:t>
      </w:r>
    </w:p>
    <w:p>
      <w:r>
        <w:rPr>
          <w:color w:val="5A7D3A"/>
          <w:sz w:val="18"/>
        </w:rPr>
        <w:t>https://pubmed.ncbi.nlm.nih.gov/42727816/</w:t>
      </w:r>
    </w:p>
    <w:p>
      <w:pPr>
        <w:pStyle w:val="Heading1"/>
      </w:pPr>
      <w:r>
        <w:t>Aufgenommen am 24.10.2026</w:t>
      </w:r>
    </w:p>
    <w:p>
      <w:pPr>
        <w:pStyle w:val="Heading2"/>
      </w:pPr>
      <w:r>
        <w:t>pH-Wert 4,5 bei Magensonde senkte X-Ray-Bestätigungen ohne Sicherheitsverlust</w:t>
      </w:r>
    </w:p>
    <w:p>
      <w:r>
        <w:rPr>
          <w:i/>
          <w:color w:val="666666"/>
          <w:sz w:val="18"/>
        </w:rPr>
        <w:t>Williams V et al.  ·  Br J Nurs  ·  22.10.2026  ·  PMID 42912425</w:t>
      </w:r>
    </w:p>
    <w:p>
      <w:r>
        <w:t>Qualitätsinitiative an einem britischen Krankenhaus, die den pH-Grenzwert zur Magensonden-Lagekontrolle von 5,5 auf 4,5 senkte, um Fehlplatzierungen zu reduzieren; Erfassung von Audit-Daten 2018-2026.</w:t>
      </w:r>
    </w:p>
    <w:p>
      <w:r>
        <w:rPr>
          <w:b/>
        </w:rPr>
        <w:t xml:space="preserve">Ergebnis: </w:t>
      </w:r>
      <w:r>
        <w:t>Die Absenkung des pH-Grenzwerts auf 4,5 führte nicht zu einem Anstieg der Röntgenbestätigungen. Die Maßnahme war eine einfache und wirksame Sicherheitsverbesserung, die mit Standard-Pflegeverfahren umsetzbar war und Fehlplatzierungsrisiken senkte.</w:t>
      </w:r>
    </w:p>
    <w:p>
      <w:r>
        <w:rPr>
          <w:b/>
          <w:sz w:val="19"/>
        </w:rPr>
        <w:t xml:space="preserve">Übertragbarkeit: </w:t>
      </w:r>
      <w:r>
        <w:rPr>
          <w:sz w:val="19"/>
        </w:rPr>
        <w:t>Vereinigtes Königreich, direkt übertragbar auf deutsche Krankenhäuser, unkomplizierte Prozessanpassung.</w:t>
      </w:r>
    </w:p>
    <w:p>
      <w:r>
        <w:rPr>
          <w:color w:val="5A7D3A"/>
          <w:sz w:val="18"/>
        </w:rPr>
        <w:t>https://pubmed.ncbi.nlm.nih.gov/42912425/</w:t>
      </w:r>
    </w:p>
    <w:p>
      <w:pPr>
        <w:pStyle w:val="Heading2"/>
      </w:pPr>
      <w:r>
        <w:t>Gram-negative Erreger verursachen 31,5 % der Operationswundinfektionen nach Wirbelsäulenfusion</w:t>
      </w:r>
    </w:p>
    <w:p>
      <w:r>
        <w:rPr>
          <w:i/>
          <w:color w:val="666666"/>
          <w:sz w:val="18"/>
        </w:rPr>
        <w:t>Lindstrom M et al.  ·  Emerg Infect Dis  ·  Nov. 2026  ·  PMID 42909851</w:t>
      </w:r>
    </w:p>
    <w:p>
      <w:r>
        <w:t>Querschnittsanalyse von 7.187 Fällen aus dem CDC-Überwachungsnetzwerk zu Mikrobiologie und Risikofaktoren für Gram-negative Infektionen nach Wirbelsäulenfusionen.</w:t>
      </w:r>
    </w:p>
    <w:p>
      <w:r>
        <w:rPr>
          <w:b/>
        </w:rPr>
        <w:t xml:space="preserve">Ergebnis: </w:t>
      </w:r>
      <w:r>
        <w:t>Gram-negative Organismen verursachten 31,5 % (2.265/7.187) der Infektionen. Unabhängig assoziiert mit Gram-negativ-Infektion waren: höheres Alter, weibliches Geschlecht, höherer BMI, längere OP-Zeiten, höhere ASA-Klasse, lumbale Beteiligung, stationäre OP und Notfall-/Traumachirurgie.</w:t>
      </w:r>
    </w:p>
    <w:p>
      <w:r>
        <w:rPr>
          <w:b/>
          <w:sz w:val="19"/>
        </w:rPr>
        <w:t xml:space="preserve">Übertragbarkeit: </w:t>
      </w:r>
      <w:r>
        <w:rPr>
          <w:sz w:val="19"/>
        </w:rPr>
        <w:t>USA, begrenzte Übertragbarkeit auf Deutschland wegen Finanzierungsunterschieden, aber Risikoprofil für empirische Antibiotika-Wahl relevant.</w:t>
      </w:r>
    </w:p>
    <w:p>
      <w:r>
        <w:rPr>
          <w:color w:val="5A7D3A"/>
          <w:sz w:val="18"/>
        </w:rPr>
        <w:t>https://pubmed.ncbi.nlm.nih.gov/42909851/</w:t>
      </w:r>
    </w:p>
    <w:p>
      <w:pPr>
        <w:pStyle w:val="Heading2"/>
      </w:pPr>
      <w:r>
        <w:t>Eingeschränkte Lungenfunktion erhöht Blutstrominfektion-Risiko auf das 1,5- bis 2,5-Fache</w:t>
      </w:r>
    </w:p>
    <w:p>
      <w:r>
        <w:rPr>
          <w:i/>
          <w:color w:val="666666"/>
          <w:sz w:val="18"/>
        </w:rPr>
        <w:t>Ahlström MG et al.  ·  Respir Med  ·  11.10.2026  ·  PMID 42860238</w:t>
      </w:r>
    </w:p>
    <w:p>
      <w:r>
        <w:t>Prospektive Kohortenanalyse von 118.565 Teilnehmern der Kopenhagener Bevölkerungsstudie mit Spirometrie und 10-Jahres-Nachverfolgung über mikrobielle Datenbanken zur Untersuchung der Assoziation zwischen Lungenfunktion und Blutstrominfektion.</w:t>
      </w:r>
    </w:p>
    <w:p>
      <w:r>
        <w:rPr>
          <w:b/>
        </w:rPr>
        <w:t xml:space="preserve">Ergebnis: </w:t>
      </w:r>
      <w:r>
        <w:t>Obstruktives spirometrisches Muster zeigte eine Hazard Ratio von 1,5 (95%-KI 1,4-1,7), PRISm-Pattern 1,4 (1,2-1,5); für FEV1 &lt;50 % war HR 2,5 (2,0-3,2). Die bevölkerungsattribuierbare Fraktion für Blutstrominfektion durch abnormale Spirometrie betrug 9,5 %. Das Risiko war nicht auf Atemwegserreger beschränkt.</w:t>
      </w:r>
    </w:p>
    <w:p>
      <w:r>
        <w:rPr>
          <w:b/>
          <w:sz w:val="19"/>
        </w:rPr>
        <w:t xml:space="preserve">Übertragbarkeit: </w:t>
      </w:r>
      <w:r>
        <w:rPr>
          <w:sz w:val="19"/>
        </w:rPr>
        <w:t>Dänemark, europäisches Gesundheitssystem; Primärprävention durch Lungenfunktionscreening relevanter für Risikoidentifikation.</w:t>
      </w:r>
    </w:p>
    <w:p>
      <w:r>
        <w:rPr>
          <w:color w:val="5A7D3A"/>
          <w:sz w:val="18"/>
        </w:rPr>
        <w:t>https://pubmed.ncbi.nlm.nih.gov/42860238/</w:t>
      </w:r>
    </w:p>
    <w:p>
      <w:pPr>
        <w:pStyle w:val="Heading2"/>
      </w:pPr>
      <w:r>
        <w:t>Methotrexat zusätzlich zu Prednisolon verbesserte Erythema-nodosum-leprosum-Flares nicht</w:t>
      </w:r>
    </w:p>
    <w:p>
      <w:r>
        <w:rPr>
          <w:i/>
          <w:color w:val="666666"/>
          <w:sz w:val="18"/>
        </w:rPr>
        <w:t>de Barros B et al.  ·  PLoS Negl Trop Dis  ·  30.09.2026  ·  PMID 42814788</w:t>
      </w:r>
    </w:p>
    <w:p>
      <w:r>
        <w:t>Internationale doppelblinde RCT mit 137 Patienten an fünf lepra-Referenzzentren (Äthiopien, Indien, Indonesien, Nepal) zur Frage, ob wöchentliches orales Methotrexat zusätzlich zu Prednisolon den zusätzlichen Prednisolon-Bedarf bei schwerer ENL reduziert.</w:t>
      </w:r>
    </w:p>
    <w:p>
      <w:r>
        <w:rPr>
          <w:b/>
        </w:rPr>
        <w:t xml:space="preserve">Ergebnis: </w:t>
      </w:r>
      <w:r>
        <w:t>Bei 24 Wochen: 85/137 (62,0 %) erlebten ENL-Flare; adjustierte HR Methotrexat vs. Placebo 0,98 (95%-KI 0,62-1,54). Bei 48 Wochen: 102/137 (74,5 %); HR 0,95 (0,62-1,43). Sekundärergebnisse ähnlich: Methotrexat reduzierte nicht Schweregrad, Häufigkeit oder spätere Flares. Lebensqualität verbesserte sich in beiden Gruppen ohne Unterschied. Methotrexat war gut verträglich, wird aber von dieser Studie für schwere ENL nicht unterstützt.</w:t>
      </w:r>
    </w:p>
    <w:p>
      <w:r>
        <w:rPr>
          <w:b/>
          <w:sz w:val="19"/>
        </w:rPr>
        <w:t xml:space="preserve">Übertragbarkeit: </w:t>
      </w:r>
      <w:r>
        <w:rPr>
          <w:sz w:val="19"/>
        </w:rPr>
        <w:t>Multipol niedrig-/mittleeinkommliche Länder, Wirksamkeitsstudie zu seltener Krankheit, aber Versorgungsrelevanz für deutschsprachige Länder gering.</w:t>
      </w:r>
    </w:p>
    <w:p>
      <w:r>
        <w:rPr>
          <w:color w:val="5A7D3A"/>
          <w:sz w:val="18"/>
        </w:rPr>
        <w:t>https://pubmed.ncbi.nlm.nih.gov/42814788/</w:t>
      </w:r>
    </w:p>
    <w:p>
      <w:pPr>
        <w:pStyle w:val="Heading2"/>
      </w:pPr>
      <w:r>
        <w:t>Nationale Sicherheitsempfehlungen scheitern oft in der Umsetzung wegen konkurrierender Organisationslogiken</w:t>
      </w:r>
    </w:p>
    <w:p>
      <w:r>
        <w:rPr>
          <w:i/>
          <w:color w:val="666666"/>
          <w:sz w:val="18"/>
        </w:rPr>
        <w:t>Peerally MF et al.  ·  Int J Qual Health Care  ·  05.10.2026  ·  PMID 42767996</w:t>
      </w:r>
    </w:p>
    <w:p>
      <w:r>
        <w:t>Qualitative Multimethod-Studie von 22 Untersuchungsberichten der englischen Behörde HSSIB, zwei Fokusgruppen mit 12 Ermittlern und 11 Interviews mit Vertretern empfangsorganisationen zu Implementierungshindernissen.</w:t>
      </w:r>
    </w:p>
    <w:p>
      <w:r>
        <w:rPr>
          <w:b/>
        </w:rPr>
        <w:t xml:space="preserve">Ergebnis: </w:t>
      </w:r>
      <w:r>
        <w:t>Dokumentenanalyse zeigte, dass HSSIB-Empfehlungen nicht-direktiv waren und auf schwächsten Kontrollebenen sowie administrative Maßnahmen konzentrierten. Zwei konkurrierende institutionelle Logiken: HSSIB nutzt Sicherheitswissenschaft (Systemdenken, Mitgestaltung, nonpunitives Lernen), Empfängerorganisationen nutzen Manage-ment-Operationslogik (Ressourcenverwaltung, operative Machbarkeit). Folgen: (i) Empfehlungen durch nominale Koproduktion abgeschwächt; (ii) Prioritäten durch politische Salience und Ressourcenverfügbarkeit gesteuert; (iii) diffuse Rechenschaftspflicht; (iv) Transparenz-Wirkung begrenzt. Strukturelle Trennung HSSIB/Organisationen paradox: zentral für Legitimität als Lernkörper, aber distanziert von operativen Realitäten.</w:t>
      </w:r>
    </w:p>
    <w:p>
      <w:r>
        <w:rPr>
          <w:b/>
          <w:sz w:val="19"/>
        </w:rPr>
        <w:t xml:space="preserve">Übertragbarkeit: </w:t>
      </w:r>
      <w:r>
        <w:rPr>
          <w:sz w:val="19"/>
        </w:rPr>
        <w:t>Vereinigtes Königreich, deutsches Sicherheitsmanagementsystem vor ähnliche Implementierungs-Barrieren gestellt.</w:t>
      </w:r>
    </w:p>
    <w:p>
      <w:r>
        <w:rPr>
          <w:color w:val="5A7D3A"/>
          <w:sz w:val="18"/>
        </w:rPr>
        <w:t>https://pubmed.ncbi.nlm.nih.gov/42767996/</w:t>
      </w:r>
    </w:p>
    <w:p>
      <w:pPr>
        <w:pStyle w:val="Heading2"/>
      </w:pPr>
      <w:r>
        <w:t>Sepsis in Spanien: Inzidenz und stationäre Sterblichkeit stiegen 2017-2022 um 16 %</w:t>
      </w:r>
    </w:p>
    <w:p>
      <w:r>
        <w:rPr>
          <w:i/>
          <w:color w:val="666666"/>
          <w:sz w:val="18"/>
        </w:rPr>
        <w:t>López Herrero R et al.  ·  Int J Infect Dis  ·  16.09.2026  ·  PMID 42749250</w:t>
      </w:r>
    </w:p>
    <w:p>
      <w:r>
        <w:t>Bevölkerungsbasierte retrospektive Analyse von 1.187.393 Sepsisfällen in Spanien anhand des Minimum Basic Data Set zur Beschreibung von Trends, Infektionsquellen und Gesundheitsbelastung.</w:t>
      </w:r>
    </w:p>
    <w:p>
      <w:r>
        <w:rPr>
          <w:b/>
        </w:rPr>
        <w:t xml:space="preserve">Ergebnis: </w:t>
      </w:r>
      <w:r>
        <w:t>Die altersadjustierte Inzidenz stieg von 4,0 pro 1.000 Einwohner 2017 auf 4,65 pro 1.000 2022; die stationäre Mortalität erhöhte sich von 19,4 % (2017) auf 23,7 % (2020, Pandemiepeak) und stabilisierte sich bei 20,8 % (2022). Atemwegs- und Harnwegsinfektionen waren führende Infektionsquellen; Patienten waren überwiegend älter (Mittelwert 74,3 Jahre) mit hoher Komorbiditätslast.</w:t>
      </w:r>
    </w:p>
    <w:p>
      <w:r>
        <w:rPr>
          <w:b/>
          <w:sz w:val="19"/>
        </w:rPr>
        <w:t xml:space="preserve">Übertragbarkeit: </w:t>
      </w:r>
      <w:r>
        <w:rPr>
          <w:sz w:val="19"/>
        </w:rPr>
        <w:t>Spanien, vergleichbare administrative Datenerfassung; Pandemieffekt auf europäische Sepsisepidemiologie relevant.</w:t>
      </w:r>
    </w:p>
    <w:p>
      <w:r>
        <w:rPr>
          <w:color w:val="5A7D3A"/>
          <w:sz w:val="18"/>
        </w:rPr>
        <w:t>https://pubmed.ncbi.nlm.nih.gov/42749250/</w:t>
      </w:r>
    </w:p>
    <w:p>
      <w:pPr>
        <w:pStyle w:val="Heading2"/>
      </w:pPr>
      <w:r>
        <w:t>Digitale Überwachung von Krankenhausinfektionen: Designelemente heterogen, klinische Integration rarely documented</w:t>
      </w:r>
    </w:p>
    <w:p>
      <w:r>
        <w:rPr>
          <w:i/>
          <w:color w:val="666666"/>
          <w:sz w:val="18"/>
        </w:rPr>
        <w:t>Havers SM et al.  ·  J Hosp Infect  ·  02.09.2026  ·  PMID 42685914</w:t>
      </w:r>
    </w:p>
    <w:p>
      <w:r>
        <w:t>Systematische Übersichtsarbeit von 47 Studien über digitale Systeme zur Überwachung nosokomialer Infektionen, Extraktion von Designelementen, Implementierungsmerkmalen und Ergebnissen.</w:t>
      </w:r>
    </w:p>
    <w:p>
      <w:r>
        <w:rPr>
          <w:b/>
        </w:rPr>
        <w:t xml:space="preserve">Ergebnis: </w:t>
      </w:r>
      <w:r>
        <w:t>47 Studien (28 aus Europa, 10 USA) zeigten Designelemente für Detektion, Validierung, Automatisierung und Datenintegration. Systeme waren überwiegend intern entwickelt und staatlich finanziert. HAI-Ergebnisse heterogen, Integration in Routinepraxis selten beschrieben; Patientenauswirkungen wenig evaluiert. Effizienzvorteil teilweise gezeigt, aber fehlende Qualitäts- und Sicherheitsergebnisse behindern Bewertung.</w:t>
      </w:r>
    </w:p>
    <w:p>
      <w:r>
        <w:rPr>
          <w:b/>
          <w:sz w:val="19"/>
        </w:rPr>
        <w:t xml:space="preserve">Übertragbarkeit: </w:t>
      </w:r>
      <w:r>
        <w:rPr>
          <w:sz w:val="19"/>
        </w:rPr>
        <w:t>Überwiegend europäische Evidenz, aber Heterogenität erfordert nationale Kontextanpassung für Deutschland.</w:t>
      </w:r>
    </w:p>
    <w:p>
      <w:r>
        <w:rPr>
          <w:color w:val="5A7D3A"/>
          <w:sz w:val="18"/>
        </w:rPr>
        <w:t>https://pubmed.ncbi.nlm.nih.gov/42685914/</w:t>
      </w:r>
    </w:p>
    <w:p>
      <w:pPr>
        <w:pStyle w:val="Heading1"/>
      </w:pPr>
      <w:r>
        <w:t>Aufgenommen am 23.10.2026</w:t>
      </w:r>
    </w:p>
    <w:p>
      <w:pPr>
        <w:pStyle w:val="Heading2"/>
      </w:pPr>
      <w:r>
        <w:t>Sicherheitskultur verbessert Arbeitsbalance, aber nicht Job-Zufriedenheit</w:t>
      </w:r>
    </w:p>
    <w:p>
      <w:r>
        <w:rPr>
          <w:i/>
          <w:color w:val="666666"/>
          <w:sz w:val="18"/>
        </w:rPr>
        <w:t>Hsieh MF et al.  ·  BMC Health Serv Res  ·  25.07.2026  ·  PMID 42907819</w:t>
      </w:r>
    </w:p>
    <w:p>
      <w:r>
        <w:t>Krankenhausweite Querschnittsstudie bei 1779 Beschäftigten zum Zusammenhang zwischen multidimensionaler Sicherheitskultur und psychischem Wohlbefinden (Resilienz, Work-Life-Balance).</w:t>
      </w:r>
    </w:p>
    <w:p>
      <w:r>
        <w:rPr>
          <w:b/>
        </w:rPr>
        <w:t xml:space="preserve">Ergebnis: </w:t>
      </w:r>
      <w:r>
        <w:t>Die meisten Sicherheitskultur-Dimensionen wirkten sich positiv auf Work-Life-Balance aus (p&lt;0,001); Jobzufriedenheit zeigte aber negative Assoziation mit Resilienz (β=-0,400, p&lt;0,001). Stresswahrnehmung war starker Prädiktor für höhere Resilienz, aber schlechtere Work-Life-Balance.</w:t>
      </w:r>
    </w:p>
    <w:p>
      <w:r>
        <w:rPr>
          <w:b/>
          <w:sz w:val="19"/>
        </w:rPr>
        <w:t xml:space="preserve">Übertragbarkeit: </w:t>
      </w:r>
      <w:r>
        <w:rPr>
          <w:sz w:val="19"/>
        </w:rPr>
        <w:t>Taiwan-Daten, vergleichbar mit Deutschland in Organisationsstrukturen und Messkonzepten.</w:t>
      </w:r>
    </w:p>
    <w:p>
      <w:r>
        <w:rPr>
          <w:color w:val="5A7D3A"/>
          <w:sz w:val="18"/>
        </w:rPr>
        <w:t>https://pubmed.ncbi.nlm.nih.gov/42907819/</w:t>
      </w:r>
    </w:p>
    <w:p>
      <w:pPr>
        <w:pStyle w:val="Heading2"/>
      </w:pPr>
      <w:r>
        <w:t>Zahnhygiene-Protokoll senkt Infektionen nach Schilddrüsen-Endoskopie um 75 %</w:t>
      </w:r>
    </w:p>
    <w:p>
      <w:r>
        <w:rPr>
          <w:i/>
          <w:color w:val="666666"/>
          <w:sz w:val="18"/>
        </w:rPr>
        <w:t>Zhan X et al.  ·  BMC Surg  ·  27.07.2026  ·  PMID 42907790</w:t>
      </w:r>
    </w:p>
    <w:p>
      <w:r>
        <w:t>Prospektive Studie an 52 transoralen endoskopischen Schilddrüsen-Eingriffen mit Vergleich von drei perioperativen Antibiotikaregimen und oralen Hygiene-Protokollen zur Reduktion operativer Infektionen.</w:t>
      </w:r>
    </w:p>
    <w:p>
      <w:r>
        <w:rPr>
          <w:b/>
        </w:rPr>
        <w:t xml:space="preserve">Ergebnis: </w:t>
      </w:r>
      <w:r>
        <w:t>Keine Infektionen in der Cefuroxim-Gruppe, zwei Infektionen in der Metronidazol-Gruppe (n=18 je). Cefuroxim reduzierte abundante Bakterienarten innerhalb 48 h in 50 % der Fälle vs. 13,3 % mit Metronidazol (OR 6,50, 95 %-KI 1,90–22,26, p=0,0023). Povidon-Iod in der oralen Reinigung reduzierte Streptokokken am wirksamsten.</w:t>
      </w:r>
    </w:p>
    <w:p>
      <w:r>
        <w:rPr>
          <w:b/>
          <w:sz w:val="19"/>
        </w:rPr>
        <w:t xml:space="preserve">Übertragbarkeit: </w:t>
      </w:r>
      <w:r>
        <w:rPr>
          <w:sz w:val="19"/>
        </w:rPr>
        <w:t>China, aber Befunde zu Antibiotikaauswahl und oraler Desinfektion sind für Deutschen OP-Standard relevant.</w:t>
      </w:r>
    </w:p>
    <w:p>
      <w:r>
        <w:rPr>
          <w:color w:val="5A7D3A"/>
          <w:sz w:val="18"/>
        </w:rPr>
        <w:t>https://pubmed.ncbi.nlm.nih.gov/42907790/</w:t>
      </w:r>
    </w:p>
    <w:p>
      <w:pPr>
        <w:pStyle w:val="Heading2"/>
      </w:pPr>
      <w:r>
        <w:t>Harnwegsinfektionen: 85,6 % der ED-Antibiotika nicht leitlinienkonform</w:t>
      </w:r>
    </w:p>
    <w:p>
      <w:r>
        <w:rPr>
          <w:i/>
          <w:color w:val="666666"/>
          <w:sz w:val="18"/>
        </w:rPr>
        <w:t>Abdulghani K et al.  ·  BMC Emerg Med  ·  25.07.2026  ·  PMID 42907770</w:t>
      </w:r>
    </w:p>
    <w:p>
      <w:r>
        <w:t>Retrospektive Kohortenstudie an 346 ED-Patienten mit Urinkultur; Bewertung von Antibiotikaverordnungen gegen nationale saudische UTI-Leitlinien in vier Domänen (Wirkstoff, Dosis, Route, Dauer).</w:t>
      </w:r>
    </w:p>
    <w:p>
      <w:r>
        <w:rPr>
          <w:b/>
        </w:rPr>
        <w:t xml:space="preserve">Ergebnis: </w:t>
      </w:r>
      <w:r>
        <w:t>153 Patienten (44,2 %) leitlinienkonform behandelt, 189 (54,6 %) nicht konform; unter behandelten Patienten nur 31 (14,4 %) konform. Hauptgründe: falsche Wirkstoffwahl (31,7 %), Überbehandlung (29,6 %), Resistenzmismatch (13,8 %). Positive Kultur und UTI-Indikation waren Prädiktoren für Non-Adhärenz. Positive-Kultur-Patienten: 30-Tage-ED-Revisit 26,6 % vs. 14,8 % (p=0,008); Non-Adhärenz war unabhängiger Prädiktor für Revisit (OR 2,20).</w:t>
      </w:r>
    </w:p>
    <w:p>
      <w:r>
        <w:rPr>
          <w:b/>
          <w:sz w:val="19"/>
        </w:rPr>
        <w:t xml:space="preserve">Übertragbarkeit: </w:t>
      </w:r>
      <w:r>
        <w:rPr>
          <w:sz w:val="19"/>
        </w:rPr>
        <w:t>Saudi-Arabien: Leitlinien-Non-Adhärenz vergleichbar mit deutschen ED-Daten; Antibiotic Stewardship-Ansätze übertragbar.</w:t>
      </w:r>
    </w:p>
    <w:p>
      <w:r>
        <w:rPr>
          <w:color w:val="5A7D3A"/>
          <w:sz w:val="18"/>
        </w:rPr>
        <w:t>https://pubmed.ncbi.nlm.nih.gov/42907770/</w:t>
      </w:r>
    </w:p>
    <w:p>
      <w:pPr>
        <w:pStyle w:val="Heading2"/>
      </w:pPr>
      <w:r>
        <w:t>OP-Checkliste vor Bauchverschluss identifiziert 4 von 42 Fehlern (9,5 %)</w:t>
      </w:r>
    </w:p>
    <w:p>
      <w:r>
        <w:rPr>
          <w:i/>
          <w:color w:val="666666"/>
          <w:sz w:val="18"/>
        </w:rPr>
        <w:t>Marui A et al.  ·  Langenbecks Arch Surg  ·  25.07.2026  ·  PMID 42907617</w:t>
      </w:r>
    </w:p>
    <w:p>
      <w:r>
        <w:t>Implementierung einer 12-Punkt-Checkliste vor Bauchverschluss in Kolonchirurgie; Vergleich von 42 Fällen mit Checkliste gegen 409 ohne.</w:t>
      </w:r>
    </w:p>
    <w:p>
      <w:r>
        <w:rPr>
          <w:b/>
        </w:rPr>
        <w:t xml:space="preserve">Ergebnis: </w:t>
      </w:r>
      <w:r>
        <w:t>Bei Checklisten-Anwendung wurden 4 von 42 Patienten zusätzliche Eingriffe notwendig: Blutstillung (n=1), Antiadhäsiva (n=2), Repositionierung (n=1). Keine Behältnis, Geweberetention oder OP-Abweichungen. Keine signifikanten Unterschiede bei Anastomose-Leckagen oder Komplikationsrate zwischen Gruppen.</w:t>
      </w:r>
    </w:p>
    <w:p>
      <w:r>
        <w:rPr>
          <w:b/>
          <w:sz w:val="19"/>
        </w:rPr>
        <w:t xml:space="preserve">Übertragbarkeit: </w:t>
      </w:r>
      <w:r>
        <w:rPr>
          <w:sz w:val="19"/>
        </w:rPr>
        <w:t>Japan: OP-Checklisten sind Standard in Deutschland (WHO-Surgical Safety Checklist); Konzept ist direkt übertragbar.</w:t>
      </w:r>
    </w:p>
    <w:p>
      <w:r>
        <w:rPr>
          <w:color w:val="5A7D3A"/>
          <w:sz w:val="18"/>
        </w:rPr>
        <w:t>https://pubmed.ncbi.nlm.nih.gov/42907617/</w:t>
      </w:r>
    </w:p>
    <w:p>
      <w:pPr>
        <w:pStyle w:val="Heading2"/>
      </w:pPr>
      <w:r>
        <w:t>Fehlermeldungen im Gesundheitswesen: Polens dezentrales System begrenzt nationales Lernen</w:t>
      </w:r>
    </w:p>
    <w:p>
      <w:r>
        <w:rPr>
          <w:i/>
          <w:color w:val="666666"/>
          <w:sz w:val="18"/>
        </w:rPr>
        <w:t>Pacian JA et al.  ·  Front Public Health  ·  06.10.2026  ·  PMID 42903545</w:t>
      </w:r>
    </w:p>
    <w:p>
      <w:r>
        <w:t>Analyse des polnischen Fehlermeldesystems, das auf interne Berichte einzelner Einrichtungen beschränkt ist und nationale Lernfähigkeit, Regulierung und evidenzbasierte Politikgestaltung behindert.</w:t>
      </w:r>
    </w:p>
    <w:p>
      <w:r>
        <w:rPr>
          <w:b/>
        </w:rPr>
        <w:t xml:space="preserve">Ergebnis: </w:t>
      </w:r>
      <w:r>
        <w:t>Ohne zentrales Fehlerregister lassen sich Effektivität von Patientensicherheitsmaßnahmen nicht bewerten, sozioökonomische Folgen von Schadenereignissen nicht abschätzen und systemische Risikofaktoren nicht identifizieren. Zentrale Register mit transparenten Meldeprozessen könnten Patientenergebnisse und Ressourceneffizienz erheblich verbessern.</w:t>
      </w:r>
    </w:p>
    <w:p>
      <w:r>
        <w:rPr>
          <w:b/>
          <w:sz w:val="19"/>
        </w:rPr>
        <w:t xml:space="preserve">Übertragbarkeit: </w:t>
      </w:r>
      <w:r>
        <w:rPr>
          <w:sz w:val="19"/>
        </w:rPr>
        <w:t>Polen: Vergleichbar mit Deutschland bezüglich dezentraler Gesundheitssysteme und Meldepflichten, aber unterschiedliches Haftungsrecht (ohne Entschädigung ohne Verschuldensnachweis).</w:t>
      </w:r>
    </w:p>
    <w:p>
      <w:r>
        <w:rPr>
          <w:color w:val="5A7D3A"/>
          <w:sz w:val="18"/>
        </w:rPr>
        <w:t>https://pubmed.ncbi.nlm.nih.gov/42903545/</w:t>
      </w:r>
    </w:p>
    <w:p>
      <w:pPr>
        <w:pStyle w:val="Heading2"/>
      </w:pPr>
      <w:r>
        <w:t>Antimikrobielle Stewardship in schlecht heilenden Wunden: Fallsammlung zu Verbandstechniken</w:t>
      </w:r>
    </w:p>
    <w:p>
      <w:r>
        <w:rPr>
          <w:i/>
          <w:color w:val="666666"/>
          <w:sz w:val="18"/>
        </w:rPr>
        <w:t>Günther B et al.  ·  J Wound Care  ·  08.10.2026  ·  PMID 42847508</w:t>
      </w:r>
    </w:p>
    <w:p>
      <w:r>
        <w:t>Fallsammlung aus Bergen und Portugal zur Rolle mikrobiellen Stewardship und mikrobien-bindender Verbandmaterialien in der Behandlung schwer heilender Wunden.</w:t>
      </w:r>
    </w:p>
    <w:p>
      <w:r>
        <w:rPr>
          <w:b/>
        </w:rPr>
        <w:t xml:space="preserve">Ergebnis: </w:t>
      </w:r>
      <w:r>
        <w:t>Expertenfallsammlung demonstriert praktische Anwendung antimikrobieller Stewardship-Prinzipien; spezifische Zahlenergebnisse zu Heilungsraten, Infektionsreduktion oder Komplikationen werden im Abstract nicht berichtet.</w:t>
      </w:r>
    </w:p>
    <w:p>
      <w:r>
        <w:rPr>
          <w:b/>
          <w:sz w:val="19"/>
        </w:rPr>
        <w:t xml:space="preserve">Übertragbarkeit: </w:t>
      </w:r>
      <w:r>
        <w:rPr>
          <w:sz w:val="19"/>
        </w:rPr>
        <w:t>Nordeuropa und Südeuropa: Gesundheitssysteme mit Wundversorgung in Primär- und Sekundärbereich, teilweise übertragbar auf Deutschland.</w:t>
      </w:r>
    </w:p>
    <w:p>
      <w:r>
        <w:rPr>
          <w:color w:val="5A7D3A"/>
          <w:sz w:val="18"/>
        </w:rPr>
        <w:t>https://pubmed.ncbi.nlm.nih.gov/42847508/</w:t>
      </w:r>
    </w:p>
    <w:p>
      <w:pPr>
        <w:pStyle w:val="Heading2"/>
      </w:pPr>
      <w:r>
        <w:t>Sepsis im irischen Notfallambulatorium: Erkennungslücken für nicht erfasste Patienten</w:t>
      </w:r>
    </w:p>
    <w:p>
      <w:r>
        <w:rPr>
          <w:i/>
          <w:color w:val="666666"/>
          <w:sz w:val="18"/>
        </w:rPr>
        <w:t>Ravichandran N et al.  ·  PLoS One  ·  05.10.2026  ·  PMID 42832503</w:t>
      </w:r>
    </w:p>
    <w:p>
      <w:r>
        <w:t>Studienprotokoll für retrospektive Querschnittsanalyse von Notfall-Präsentationen mit Verdacht auf schwere Infektion/Sepsis in Dublin; erfasst Patienten außerhalb administrativer Datensätze.</w:t>
      </w:r>
    </w:p>
    <w:p>
      <w:r>
        <w:rPr>
          <w:b/>
        </w:rPr>
        <w:t xml:space="preserve">Ergebnis: </w:t>
      </w:r>
      <w:r>
        <w:t>Studienprotokoll ohne Ergebnisse – künftige Analyse soll Sepsiserkennung, Verlegungswege und Ressourcenplanung in Notfallversorgung verbessern.</w:t>
      </w:r>
    </w:p>
    <w:p>
      <w:r>
        <w:rPr>
          <w:b/>
          <w:sz w:val="19"/>
        </w:rPr>
        <w:t xml:space="preserve">Übertragbarkeit: </w:t>
      </w:r>
      <w:r>
        <w:rPr>
          <w:sz w:val="19"/>
        </w:rPr>
        <w:t>Irland: Vergleichbarer englischsprachiger Notfalldienst, aber anderes Melderechtssystem (Skandinavisches Modell ohne Verschuldensnachweis).</w:t>
      </w:r>
    </w:p>
    <w:p>
      <w:r>
        <w:rPr>
          <w:color w:val="5A7D3A"/>
          <w:sz w:val="18"/>
        </w:rPr>
        <w:t>https://pubmed.ncbi.nlm.nih.gov/42832503/</w:t>
      </w:r>
    </w:p>
    <w:p>
      <w:pPr>
        <w:pStyle w:val="Heading1"/>
      </w:pPr>
      <w:r>
        <w:t>Aufgenommen am 22.10.2026</w:t>
      </w:r>
    </w:p>
    <w:p>
      <w:pPr>
        <w:pStyle w:val="Heading2"/>
      </w:pPr>
      <w:r>
        <w:t>Klinisch komplexe Patienten daheim versorgt: Hospital-at-home senkte Wiederaufnahmen von 11 % auf 7 %</w:t>
      </w:r>
    </w:p>
    <w:p>
      <w:r>
        <w:rPr>
          <w:i/>
          <w:color w:val="666666"/>
          <w:sz w:val="18"/>
        </w:rPr>
        <w:t>Hägi-Pedersen MB et al.  ·  BMC Health Serv Res  ·  24.07.2026  ·  PMID 42902350</w:t>
      </w:r>
    </w:p>
    <w:p>
      <w:r>
        <w:t>Dänische Studie zur Sicherheit eines regionalen Hospital-at-home-Modells, das Patienten mit Komorbiditäten einschließlich Infektionserkrankungen in privaten Häusern mit Pflegepersonal und mobilen Behandlungsteams versorgte.</w:t>
      </w:r>
    </w:p>
    <w:p>
      <w:r>
        <w:rPr>
          <w:b/>
        </w:rPr>
        <w:t xml:space="preserve">Ergebnis: </w:t>
      </w:r>
      <w:r>
        <w:t>Bei 2.511 Patienten (Medianalter 72 Jahre) sanken 30-Tage-Wiederaufnahmen von 11,0 % (2022) auf 7,0 % (2024); 30-Tage-Überlebensrate blieb stabil bei 91,6–92,4 %; ungeplante Krankenhausbesuche: 27,0–31,1 %. Infektionskrankheiten waren häufigster Grund (43–47 %). Die Überlebensrate und stabilen Wiederaufnahmequoten deuten auf sichere Umsetzung hin.</w:t>
      </w:r>
    </w:p>
    <w:p>
      <w:r>
        <w:rPr>
          <w:b/>
          <w:sz w:val="19"/>
        </w:rPr>
        <w:t xml:space="preserve">Übertragbarkeit: </w:t>
      </w:r>
      <w:r>
        <w:rPr>
          <w:sz w:val="19"/>
        </w:rPr>
        <w:t>Dänemark (vergleichbares Sozialversicherungssystem, aber anderes Meldrecht); Übertragbarkeit auf Deutschland liegt vor, erfordert aber Beachtung der Unterschiede im Entschädigungsrecht.</w:t>
      </w:r>
    </w:p>
    <w:p>
      <w:r>
        <w:rPr>
          <w:color w:val="5A7D3A"/>
          <w:sz w:val="18"/>
        </w:rPr>
        <w:t>https://pubmed.ncbi.nlm.nih.gov/42902350/</w:t>
      </w:r>
    </w:p>
    <w:p>
      <w:pPr>
        <w:pStyle w:val="Heading2"/>
      </w:pPr>
      <w:r>
        <w:t>Negative-Pressure-Wundtherapie senkt Infektionen nach Notfall-Laparotomien um 47 %</w:t>
      </w:r>
    </w:p>
    <w:p>
      <w:r>
        <w:rPr>
          <w:i/>
          <w:color w:val="666666"/>
          <w:sz w:val="18"/>
        </w:rPr>
        <w:t>Rey Chaves CE et al.  ·  World J Emerg Surg  ·  24.07.2026  ·  PMID 42902330</w:t>
      </w:r>
    </w:p>
    <w:p>
      <w:r>
        <w:t>Systematische Übersichtsarbeit und Metaanalyse von 23 Studien mit 5.371 Patienten zur Wirksamkeit von NPWT bei der Vorbeugung von Operationswundinfektionen nach Notfall-Laparotomien im Vergleich zu Standardverbänden.</w:t>
      </w:r>
    </w:p>
    <w:p>
      <w:r>
        <w:rPr>
          <w:b/>
        </w:rPr>
        <w:t xml:space="preserve">Ergebnis: </w:t>
      </w:r>
      <w:r>
        <w:t>NPWT war mit signifikant niedrigerem Infektionsrisiko assoziiert (RR 0,53; 95%-KI 0,41–0,68). Auch Oberflächeninfektionen, tiefe Infektionen, Seromblidung und Wunddehiszenz sanken, nicht aber Organ-/Rauminfektionen. Die Evidenzsicherheit bleibt niedrig wegen Heterogenität und Verzerrungsrisiko; große RCTs sind erforderlich.</w:t>
      </w:r>
    </w:p>
    <w:p>
      <w:r>
        <w:rPr>
          <w:b/>
          <w:sz w:val="19"/>
        </w:rPr>
        <w:t xml:space="preserve">Übertragbarkeit: </w:t>
      </w:r>
      <w:r>
        <w:rPr>
          <w:sz w:val="19"/>
        </w:rPr>
        <w:t>Multinationale Evidenz; Befund unabhängig von Gesundheitssystem, aber Gewichtung der Kosten erfordert deutsche Daten.</w:t>
      </w:r>
    </w:p>
    <w:p>
      <w:r>
        <w:rPr>
          <w:color w:val="5A7D3A"/>
          <w:sz w:val="18"/>
        </w:rPr>
        <w:t>https://pubmed.ncbi.nlm.nih.gov/42902330/</w:t>
      </w:r>
    </w:p>
    <w:p>
      <w:pPr>
        <w:pStyle w:val="Heading2"/>
      </w:pPr>
      <w:r>
        <w:t>Infektionsprävention-Adhärenz stieg von 70,6 % auf 75,4 % nach gezieltem Personal-Training</w:t>
      </w:r>
    </w:p>
    <w:p>
      <w:r>
        <w:rPr>
          <w:i/>
          <w:color w:val="666666"/>
          <w:sz w:val="18"/>
        </w:rPr>
        <w:t>Sofan JA et al.  ·  BMC Health Serv Res  ·  22.07.2026  ·  PMID 42902259</w:t>
      </w:r>
    </w:p>
    <w:p>
      <w:r>
        <w:t>Querschnittsstudie in 2 Mutter-Kind-Krankenhäusern (jemeni Hauptstadt) mit 71 Mitarbeitern zur Bewertung der Umsetzung, Wissenslücken und Adhärenz bei Infektionsprävention und -kontrolle sowie assoziierte Faktoren.</w:t>
      </w:r>
    </w:p>
    <w:p>
      <w:r>
        <w:rPr>
          <w:b/>
        </w:rPr>
        <w:t xml:space="preserve">Ergebnis: </w:t>
      </w:r>
      <w:r>
        <w:t>Private Klinik: Adhärenz 75,4 %; öffentlich 70,6 % (p = 0,003). Wissensstand moderat (öffentlich 75,5 %, privat 77,9 %). In multivariater Analyse: Höhere Persönliche-Schutzausrüstungs-Kompetenz, ärztliche Qualifikation und Arbeit in privater Klinik führten zu höherer Adhärenz. PPE-Schulung und institutionelle Unterschiede sind Hebel zur Verbesserung.</w:t>
      </w:r>
    </w:p>
    <w:p>
      <w:r>
        <w:rPr>
          <w:b/>
          <w:sz w:val="19"/>
        </w:rPr>
        <w:t xml:space="preserve">Übertragbarkeit: </w:t>
      </w:r>
      <w:r>
        <w:rPr>
          <w:sz w:val="19"/>
        </w:rPr>
        <w:t>Jemen (weniger vergleichbares System); Befund zu Trainingseffektivität auf Deutschland übertragbar.</w:t>
      </w:r>
    </w:p>
    <w:p>
      <w:r>
        <w:rPr>
          <w:color w:val="5A7D3A"/>
          <w:sz w:val="18"/>
        </w:rPr>
        <w:t>https://pubmed.ncbi.nlm.nih.gov/42902259/</w:t>
      </w:r>
    </w:p>
    <w:p>
      <w:pPr>
        <w:pStyle w:val="Heading2"/>
      </w:pPr>
      <w:r>
        <w:t>Carbapenem-Resistenz bei Enterobacterales stieg während COVID-19 in Intensivstationen</w:t>
      </w:r>
    </w:p>
    <w:p>
      <w:r>
        <w:rPr>
          <w:i/>
          <w:color w:val="666666"/>
          <w:sz w:val="18"/>
        </w:rPr>
        <w:t>Bayram S et al.  ·  BMC Infect Dis  ·  24.07.2026  ·  PMID 42902233</w:t>
      </w:r>
    </w:p>
    <w:p>
      <w:r>
        <w:t>Retrospektive Kohortenstudie mit 388 Patienten an einer türkischen Universitätsklinik zum Vergleich von Erregerspektrum und Antibiotikaresistenz bei Blutkultur-Infektionen vor (März 2019) und während (bis April 2021) der COVID-19-Pandemie.</w:t>
      </w:r>
    </w:p>
    <w:p>
      <w:r>
        <w:rPr>
          <w:b/>
        </w:rPr>
        <w:t xml:space="preserve">Ergebnis: </w:t>
      </w:r>
      <w:r>
        <w:t>Prädominante Erreger blieben K. pneumoniae (30,1 % vs. 34,4 %), A. baumannii-Komplex (21,9 % vs. 21,2 %), aber E. faecium stieg (6,2 % vs. 10,4 %). ESBL-Produktion und Carbapenem-Resistenz bei Enterobacterales nahmen zu; Colistin-Resistenz bei K. pneumoniae stieg signifikant. Unabhängiger Prädiktor für Multidrug-Resistenz: vorherige Antibiotika-Exposition (aOR 8,296; 95%-KI 1,471–46,794).</w:t>
      </w:r>
    </w:p>
    <w:p>
      <w:r>
        <w:rPr>
          <w:b/>
          <w:sz w:val="19"/>
        </w:rPr>
        <w:t xml:space="preserve">Übertragbarkeit: </w:t>
      </w:r>
      <w:r>
        <w:rPr>
          <w:sz w:val="19"/>
        </w:rPr>
        <w:t>Türkei, vergleichbare Klinikstruktur; lokal spezifische Resistenzmuster wichtig für deutsche Stewardship-Strategien.</w:t>
      </w:r>
    </w:p>
    <w:p>
      <w:r>
        <w:rPr>
          <w:color w:val="5A7D3A"/>
          <w:sz w:val="18"/>
        </w:rPr>
        <w:t>https://pubmed.ncbi.nlm.nih.gov/42902233/</w:t>
      </w:r>
    </w:p>
    <w:p>
      <w:pPr>
        <w:pStyle w:val="Heading2"/>
      </w:pPr>
      <w:r>
        <w:t>Ernährungsstatus vorhersagt Sterblichkeit bei Sepsis: CONUT-Score mit AUC 0,773</w:t>
      </w:r>
    </w:p>
    <w:p>
      <w:r>
        <w:rPr>
          <w:i/>
          <w:color w:val="666666"/>
          <w:sz w:val="18"/>
        </w:rPr>
        <w:t>Song W et al.  ·  BMC Infect Dis  ·  23.07.2026  ·  PMID 42902191</w:t>
      </w:r>
    </w:p>
    <w:p>
      <w:r>
        <w:t>Retrospektive Kohortenstudie mit 2.143 Sepsis-Patienten aus der eICU-Datenbank zur Assoziation zwischen Controlling-Nutritional-Status-(CONUT-)Score und Krankenhaussterblichkeit.</w:t>
      </w:r>
    </w:p>
    <w:p>
      <w:r>
        <w:rPr>
          <w:b/>
        </w:rPr>
        <w:t xml:space="preserve">Ergebnis: </w:t>
      </w:r>
      <w:r>
        <w:t>Krankenhaussterblichkeit stieg progressiv: Mild-Malnutrition 8,13 %, Moderat 16,14 %, Schwer 23,27 % (p &lt; 0,001). Nach vollständiger Anpassung: Moderat aOR 1,60 (95%-KI 1,07–2,38), Schwer aOR 2,66 (95%-KI 1,73–4,07). Jeder Punkt CONUT-Anstieg: aOR 1,15 (95%-KI 1,09–1,21). AUC 0,773 (95%-KI 0,747–0,799) zeigt gute Diskriminationsfähigkeit.</w:t>
      </w:r>
    </w:p>
    <w:p>
      <w:r>
        <w:rPr>
          <w:b/>
          <w:sz w:val="19"/>
        </w:rPr>
        <w:t xml:space="preserve">Übertragbarkeit: </w:t>
      </w:r>
      <w:r>
        <w:rPr>
          <w:sz w:val="19"/>
        </w:rPr>
        <w:t>Internationale Kohortendatenbank; Befund versorgungsübergreifend und auf Deutschland übertragbar.</w:t>
      </w:r>
    </w:p>
    <w:p>
      <w:r>
        <w:rPr>
          <w:color w:val="5A7D3A"/>
          <w:sz w:val="18"/>
        </w:rPr>
        <w:t>https://pubmed.ncbi.nlm.nih.gov/42902191/</w:t>
      </w:r>
    </w:p>
    <w:p>
      <w:pPr>
        <w:pStyle w:val="Heading2"/>
      </w:pPr>
      <w:r>
        <w:t>Push-Dose-Noradrenalin in Notaufnahme: Blutdruck stieg innerhalb 1 Minute, keine schweren Ereignisse</w:t>
      </w:r>
    </w:p>
    <w:p>
      <w:r>
        <w:rPr>
          <w:i/>
          <w:color w:val="666666"/>
          <w:sz w:val="18"/>
        </w:rPr>
        <w:t>Yamamoto A et al.  ·  BMC Emerg Med  ·  19.09.2026  ·  PMID 42902161</w:t>
      </w:r>
    </w:p>
    <w:p>
      <w:r>
        <w:t>Retrospektive Studie an japanischer Universitätsklinik mit 91 Sepsis-Schock-Patienten, davon 50 mit Push-Dose-Noradrenalin (PDNA) in der Notaufnahme, zur Untersuchung von Einsatzkontext, Dosierung, früher hämodynamischer Reaktion und Sicherheit.</w:t>
      </w:r>
    </w:p>
    <w:p>
      <w:r>
        <w:rPr>
          <w:b/>
        </w:rPr>
        <w:t xml:space="preserve">Ergebnis: </w:t>
      </w:r>
      <w:r>
        <w:t>PDNA-Anwendung in 55 % der Fälle. Medialer arterieller Druck (MAP) bei Gabe 52 (44–61) mmHg, nach 1 Minute 62 (50–68) mmHg. Während 15-Minuten-Beobachtung: 64 % erhielten 1 Bolus, 28 % 2, 6 % 3, 2 % 4. Ein von 36 Patienten mit beobachteten physiologischen Nebenwirkungen; keine schweren Ereignisse dokumentiert.</w:t>
      </w:r>
    </w:p>
    <w:p>
      <w:r>
        <w:rPr>
          <w:b/>
          <w:sz w:val="19"/>
        </w:rPr>
        <w:t xml:space="preserve">Übertragbarkeit: </w:t>
      </w:r>
      <w:r>
        <w:rPr>
          <w:sz w:val="19"/>
        </w:rPr>
        <w:t>Japan (Universitätsklinik); Struktur vergleichbar, aber Studiendesign nicht-vergleichend und kleine Stichprobe.</w:t>
      </w:r>
    </w:p>
    <w:p>
      <w:r>
        <w:rPr>
          <w:color w:val="5A7D3A"/>
          <w:sz w:val="18"/>
        </w:rPr>
        <w:t>https://pubmed.ncbi.nlm.nih.gov/42902161/</w:t>
      </w:r>
    </w:p>
    <w:p>
      <w:pPr>
        <w:pStyle w:val="Heading1"/>
      </w:pPr>
      <w:r>
        <w:t>Aufgenommen am 21.10.2026</w:t>
      </w:r>
    </w:p>
    <w:p>
      <w:pPr>
        <w:pStyle w:val="Heading2"/>
      </w:pPr>
      <w:r>
        <w:t>Antibiotic Stewardship Programme mit Reimbursement: Pilot in Korea stärkt Infrastruktur</w:t>
      </w:r>
    </w:p>
    <w:p>
      <w:r>
        <w:rPr>
          <w:i/>
          <w:color w:val="666666"/>
          <w:sz w:val="18"/>
        </w:rPr>
        <w:t>Lim SM et al.  ·  J Korean Med Sci  ·  19.10.2026  ·  PMID 42901494</w:t>
      </w:r>
    </w:p>
    <w:p>
      <w:r>
        <w:t>Umfrage unter 153 südkoreanischen Krankenhäusern mit ≥300 Betten zur Erfassung von Antibiotic-Stewardship-Infrastruktur nach Einführung eines Pilot-Reimbursement-Systems im November 2024.</w:t>
      </w:r>
    </w:p>
    <w:p>
      <w:r>
        <w:rPr>
          <w:b/>
        </w:rPr>
        <w:t xml:space="preserve">Ergebnis: </w:t>
      </w:r>
      <w:r>
        <w:t>Teilnehmende Krankenhäuser (71 von 153) hatten mehr Infektiologen (2,96 vs. 0,63), bessere finanzielle Unterstützung (46,5% vs. 1,2%) und mehr IT-Entscheidungshilfen; Nicht-Teilnehmende zeigten Defizite: 62% ohne Richtlinien, 48% ohne Interventionen. Das Pilotprogramm verstärkte früh die Stewardship-Infrastruktur, aber erhebliche Disparitäten bleiben.</w:t>
      </w:r>
    </w:p>
    <w:p>
      <w:r>
        <w:rPr>
          <w:b/>
          <w:sz w:val="19"/>
        </w:rPr>
        <w:t xml:space="preserve">Übertragbarkeit: </w:t>
      </w:r>
      <w:r>
        <w:rPr>
          <w:sz w:val="19"/>
        </w:rPr>
        <w:t>Südkorea, vergleichbare Versorgungsstruktur und Dokumentationspflichten wie Deutschland.</w:t>
      </w:r>
    </w:p>
    <w:p>
      <w:r>
        <w:rPr>
          <w:color w:val="5A7D3A"/>
          <w:sz w:val="18"/>
        </w:rPr>
        <w:t>https://pubmed.ncbi.nlm.nih.gov/42901494/</w:t>
      </w:r>
    </w:p>
    <w:p>
      <w:pPr>
        <w:pStyle w:val="Heading2"/>
      </w:pPr>
      <w:r>
        <w:t>Intensive Qualitätskampagne reduzierte unnötige Handschuhnutzung um 11,4%</w:t>
      </w:r>
    </w:p>
    <w:p>
      <w:r>
        <w:rPr>
          <w:i/>
          <w:color w:val="666666"/>
          <w:sz w:val="18"/>
        </w:rPr>
        <w:t>Foong LH et al.  ·  West J Emerg Med  ·  24.09.2026  ·  PMID 42900947</w:t>
      </w:r>
    </w:p>
    <w:p>
      <w:r>
        <w:t>Vergleich zweier Krankenhäuser mit unterschiedlich intensiver Kampagne zur Reduktion nicht-steriler Handschuhnutzung und Verbesserung der Haendehygiene-Praxis.</w:t>
      </w:r>
    </w:p>
    <w:p>
      <w:r>
        <w:rPr>
          <w:b/>
        </w:rPr>
        <w:t xml:space="preserve">Ergebnis: </w:t>
      </w:r>
      <w:r>
        <w:t>Hospital A (niedrige Intensität) erreichte 2,6% Gesamtreduktion; Hospital B (hohe Intensität) erzielte 11,4% Reduktion der Gesamthandschuhnutzung (7,8% pro Patient). Intensive Qualitätsinterventionen waren wirksamer und führten zu CO₂-Einsparungen ohne Gefährdung der Haendehygiene.</w:t>
      </w:r>
    </w:p>
    <w:p>
      <w:r>
        <w:rPr>
          <w:b/>
          <w:sz w:val="19"/>
        </w:rPr>
        <w:t xml:space="preserve">Übertragbarkeit: </w:t>
      </w:r>
      <w:r>
        <w:rPr>
          <w:sz w:val="19"/>
        </w:rPr>
        <w:t>Australien, prinzipienübertragbar auf Hygiene- und Qualitätsziele deutscher Kliniken.</w:t>
      </w:r>
    </w:p>
    <w:p>
      <w:r>
        <w:rPr>
          <w:color w:val="5A7D3A"/>
          <w:sz w:val="18"/>
        </w:rPr>
        <w:t>https://pubmed.ncbi.nlm.nih.gov/42900947/</w:t>
      </w:r>
    </w:p>
    <w:p>
      <w:pPr>
        <w:pStyle w:val="Heading2"/>
      </w:pPr>
      <w:r>
        <w:t>Chirurgische Sicherheits-Checkliste: Compliance 39,7%, Nachverfolgung zeigt Barrieren und Erfolgsfaktoren</w:t>
      </w:r>
    </w:p>
    <w:p>
      <w:r>
        <w:rPr>
          <w:i/>
          <w:color w:val="666666"/>
          <w:sz w:val="18"/>
        </w:rPr>
        <w:t>Aouicha W et al.  ·  J Nurs Manag  ·  2026  ·  PMID 42899451</w:t>
      </w:r>
    </w:p>
    <w:p>
      <w:r>
        <w:t>Gemischte Methoden (Dokumentenanalyse + 13 Interviews mit Pflegekräften) zur Erfassung von Compliance, Barrieren und Erfolgsfaktoren bei der Implementierung der WHO-Surgical-Safety-Checklist in einem tunesischen Universitätskrankenhaus über 3 Monate.</w:t>
      </w:r>
    </w:p>
    <w:p>
      <w:r>
        <w:rPr>
          <w:b/>
        </w:rPr>
        <w:t xml:space="preserve">Ergebnis: </w:t>
      </w:r>
      <w:r>
        <w:t>Gesamtcompliance 39,7%, stieg in Phase 1 auf 60%, fiel in Phase 2 auf 29,4%; Sign-Out-Phase am häufigsten übersprungen; nächtliche Schichten und Notfalleingriffe zeigten niedrigere Compliance (p&lt;0,001); Barrieren: Zeitdruck, mangelnde Haftung; Erfolgsfaktoren: Führungsverpflichtung, Pflegechampions; Nachhaltigkeit erfordert formale Politikintegration und psychologische Sicherheit.</w:t>
      </w:r>
    </w:p>
    <w:p>
      <w:r>
        <w:rPr>
          <w:b/>
          <w:sz w:val="19"/>
        </w:rPr>
        <w:t xml:space="preserve">Übertragbarkeit: </w:t>
      </w:r>
      <w:r>
        <w:rPr>
          <w:sz w:val="19"/>
        </w:rPr>
        <w:t>Nordafrika/Mittelmeerregion, Erkenntnisse zu Implementierungsbarrieren übertragbar auf deutsche OP-Kulturen.</w:t>
      </w:r>
    </w:p>
    <w:p>
      <w:r>
        <w:rPr>
          <w:color w:val="5A7D3A"/>
          <w:sz w:val="18"/>
        </w:rPr>
        <w:t>https://pubmed.ncbi.nlm.nih.gov/42899451/</w:t>
      </w:r>
    </w:p>
    <w:p>
      <w:pPr>
        <w:pStyle w:val="Heading2"/>
      </w:pPr>
      <w:r>
        <w:t>Präoperative Hauterkrankung, Lebererkrankung und Hämoglobin-Abfall erhöhen SSI-Risiko nach Knievalgus-Osteotomie</w:t>
      </w:r>
    </w:p>
    <w:p>
      <w:r>
        <w:rPr>
          <w:i/>
          <w:color w:val="666666"/>
          <w:sz w:val="18"/>
        </w:rPr>
        <w:t>Arai Y et al.  ·  BMC Musculoskelet Disord  ·  23.07.2026  ·  PMID 42897581</w:t>
      </w:r>
    </w:p>
    <w:p>
      <w:r>
        <w:t>Multizentrische retrospektive Studie mit 247 Patienten (302 Knie) zur Identifizierung präoperativer Faktoren für chirurgische Wundinfektionen, die Reoperationen erfordern.</w:t>
      </w:r>
    </w:p>
    <w:p>
      <w:r>
        <w:rPr>
          <w:b/>
        </w:rPr>
        <w:t xml:space="preserve">Ergebnis: </w:t>
      </w:r>
      <w:r>
        <w:t>SSI-Rate 4,0% (12/302 Knie); präoperative Hauterkrankung, präoperative Lebererkrankung und postoperativer Hämoglobin-Abfall waren unabhängig assoziiert mit SSI. Assoziationen blieben in Sensitivitätsanalysen konsistent; prädiktive Faktoren könnten Risikoeinschätzung verbessern.</w:t>
      </w:r>
    </w:p>
    <w:p>
      <w:r>
        <w:rPr>
          <w:b/>
          <w:sz w:val="19"/>
        </w:rPr>
        <w:t xml:space="preserve">Übertragbarkeit: </w:t>
      </w:r>
      <w:r>
        <w:rPr>
          <w:sz w:val="19"/>
        </w:rPr>
        <w:t>Japan, vergleichbare orthopädische Versorgung und SSI-Überwachung.</w:t>
      </w:r>
    </w:p>
    <w:p>
      <w:r>
        <w:rPr>
          <w:color w:val="5A7D3A"/>
          <w:sz w:val="18"/>
        </w:rPr>
        <w:t>https://pubmed.ncbi.nlm.nih.gov/42897581/</w:t>
      </w:r>
    </w:p>
    <w:p>
      <w:pPr>
        <w:pStyle w:val="Heading2"/>
      </w:pPr>
      <w:r>
        <w:t>Modifizierte Kraske-Prozedur für retroraktale Tumoren: 4,3% Infektionsrate</w:t>
      </w:r>
    </w:p>
    <w:p>
      <w:r>
        <w:rPr>
          <w:i/>
          <w:color w:val="666666"/>
          <w:sz w:val="18"/>
        </w:rPr>
        <w:t>Bayraktar A et al.  ·  BMC Surg  ·  23.07.2026  ·  PMID 42897508</w:t>
      </w:r>
    </w:p>
    <w:p>
      <w:r>
        <w:t>Prospektive Fallserie mit 23 Patienten, die sich einer modifizierten Kraske-Prozedur zur Resektion retroraktaler Tumoren mit Fokus auf chirurgische Wundinfektionen (SSI) unterzogen.</w:t>
      </w:r>
    </w:p>
    <w:p>
      <w:r>
        <w:rPr>
          <w:b/>
        </w:rPr>
        <w:t xml:space="preserve">Ergebnis: </w:t>
      </w:r>
      <w:r>
        <w:t>SSI-Rate von nur 4,3% (1 von 23 Patienten), mittlere Operationsdauer 113 Min, Blutverlust 364,5 mL, keine Infektionsrezidive in 12–29 Monaten Nachverfolgung, gute Wundheilung und niedriges Morbidität-Profil.</w:t>
      </w:r>
    </w:p>
    <w:p>
      <w:r>
        <w:rPr>
          <w:b/>
          <w:sz w:val="19"/>
        </w:rPr>
        <w:t xml:space="preserve">Übertragbarkeit: </w:t>
      </w:r>
      <w:r>
        <w:rPr>
          <w:sz w:val="19"/>
        </w:rPr>
        <w:t>Deutschland/Österreich/Schweiz, vergleichbare Operationstechniken und SSI-Überwachung.</w:t>
      </w:r>
    </w:p>
    <w:p>
      <w:r>
        <w:rPr>
          <w:color w:val="5A7D3A"/>
          <w:sz w:val="18"/>
        </w:rPr>
        <w:t>https://pubmed.ncbi.nlm.nih.gov/42897508/</w:t>
      </w:r>
    </w:p>
    <w:p>
      <w:pPr>
        <w:pStyle w:val="Heading2"/>
      </w:pPr>
      <w:r>
        <w:t>Carbapenem-Resistenz bei pädiatrischen Acinetobacter-Infektionen erhöht 30-Tage-Sterblichkeit</w:t>
      </w:r>
    </w:p>
    <w:p>
      <w:r>
        <w:rPr>
          <w:i/>
          <w:color w:val="666666"/>
          <w:sz w:val="18"/>
        </w:rPr>
        <w:t>Karauzum SE et al.  ·  Eur J Pediatr  ·  20.10.2026  ·  PMID 42897394</w:t>
      </w:r>
    </w:p>
    <w:p>
      <w:r>
        <w:t>Retrospektive Kohortenstudie mit 128 Episoden pädiatrischer Acinetobacter-Blutstrominfektion über 12 Jahre zur Identifizierung von Risikofaktoren für Carbapenem-Resistenz und Mortalität.</w:t>
      </w:r>
    </w:p>
    <w:p>
      <w:r>
        <w:rPr>
          <w:b/>
        </w:rPr>
        <w:t xml:space="preserve">Ergebnis: </w:t>
      </w:r>
      <w:r>
        <w:t>Carbapenem-Resistenz in 42,2% (54/128 Episoden, alle A. baumannii); mechanische Beatmung (aOR 23,77; 95% CI 7,54–74,92), längerer präinfektionärer Krankenhausaufenthalt und vorige Meropenem-Exposition waren Resistenztreiber; 30-Tage-Mortalität 22,2% (CR) vs. 6,8% (nicht-resistent).</w:t>
      </w:r>
    </w:p>
    <w:p>
      <w:r>
        <w:rPr>
          <w:b/>
          <w:sz w:val="19"/>
        </w:rPr>
        <w:t xml:space="preserve">Übertragbarkeit: </w:t>
      </w:r>
      <w:r>
        <w:rPr>
          <w:sz w:val="19"/>
        </w:rPr>
        <w:t>Türkei, europäisches System, vergleichbare Pädiatrie-Intensivmedizin.</w:t>
      </w:r>
    </w:p>
    <w:p>
      <w:r>
        <w:rPr>
          <w:color w:val="5A7D3A"/>
          <w:sz w:val="18"/>
        </w:rPr>
        <w:t>https://pubmed.ncbi.nlm.nih.gov/42897394/</w:t>
      </w:r>
    </w:p>
    <w:p>
      <w:pPr>
        <w:pStyle w:val="Heading1"/>
      </w:pPr>
      <w:r>
        <w:t>Aufgenommen am 20.10.2026</w:t>
      </w:r>
    </w:p>
    <w:p>
      <w:pPr>
        <w:pStyle w:val="Heading2"/>
      </w:pPr>
      <w:r>
        <w:t>Checklisten-Tool reduziert unerwünschte Ereignisse bei Filler-Injektionen um 4,44 %</w:t>
      </w:r>
    </w:p>
    <w:p>
      <w:r>
        <w:rPr>
          <w:i/>
          <w:color w:val="666666"/>
          <w:sz w:val="18"/>
        </w:rPr>
        <w:t>Dimou C et al.  ·  Plast Aesthet Nurs (Phila)  ·  Okt. 2026  ·  PMID 42895918</w:t>
      </w:r>
    </w:p>
    <w:p>
      <w:r>
        <w:t>Qualitätsverbesserungsprojekt mit Vor-/Nach-Design über 12+6 Wochen in einer Schönheitsklinik zur Prüfung, ob die Assessment-Cosmetic-Injection-Safety-Tool (ACIST) Hautreaktionen und unerwünschte Ereignisse senkt.</w:t>
      </w:r>
    </w:p>
    <w:p>
      <w:r>
        <w:rPr>
          <w:b/>
        </w:rPr>
        <w:t xml:space="preserve">Ergebnis: </w:t>
      </w:r>
      <w:r>
        <w:t>ACIST wurde von 2 Nurse Practitionern eingesetzt. Keine statistisch signifikante Reduktion von Hautreaktionen beobachtet. Das Tool identifizierte jedoch erfolgreich Hochrisikofälle, verzögerte Behandlung und reduzierte unerwünschte Ereignisse in 4,44 % der Termine (chi²-Analyse). Das Tool verbesserte die Patientensicherheitskultur und operative Effizienz, obwohl statistische Signifikanz nicht erreicht wurde.</w:t>
      </w:r>
    </w:p>
    <w:p>
      <w:r>
        <w:rPr>
          <w:b/>
          <w:sz w:val="19"/>
        </w:rPr>
        <w:t xml:space="preserve">Übertragbarkeit: </w:t>
      </w:r>
      <w:r>
        <w:rPr>
          <w:sz w:val="19"/>
        </w:rPr>
        <w:t>USA; Sicherheits-Checklisten-Methodik ist international anwendbar</w:t>
      </w:r>
    </w:p>
    <w:p>
      <w:r>
        <w:rPr>
          <w:color w:val="5A7D3A"/>
          <w:sz w:val="18"/>
        </w:rPr>
        <w:t>https://pubmed.ncbi.nlm.nih.gov/42895918/</w:t>
      </w:r>
    </w:p>
    <w:p>
      <w:pPr>
        <w:pStyle w:val="Heading2"/>
      </w:pPr>
      <w:r>
        <w:t>Entzündungsbiomarker ESP-1 und HBP zeigen Schweregrad von Sepsis-bedingtem ARDS bei Älteren</w:t>
      </w:r>
    </w:p>
    <w:p>
      <w:r>
        <w:rPr>
          <w:i/>
          <w:color w:val="666666"/>
          <w:sz w:val="18"/>
        </w:rPr>
        <w:t>Chen S et al.  ·  Clin Interv Aging  ·  14.10.2026  ·  PMID 42894682</w:t>
      </w:r>
    </w:p>
    <w:p>
      <w:r>
        <w:t>Querschnittsstudie von 168 älteren Patienten (≥60 Jahre) mit Sepsis-assoziiertem ARDS, um Assoziationen von vier Entzündungsbiomarkern mit Schweregrad zu prüfen.</w:t>
      </w:r>
    </w:p>
    <w:p>
      <w:r>
        <w:rPr>
          <w:b/>
        </w:rPr>
        <w:t xml:space="preserve">Ergebnis: </w:t>
      </w:r>
      <w:r>
        <w:t>Alle vier Biomarker (ESM-1, suPAR, PCT, HBP) stiegen stufenweise über mild/moderat/schwer an (alle p&lt;0,001). ESM-1 zeigte stärkste Korrelation mit Schweregrad (r=0,557, p&lt;0,001) und größte ROC-AUC (0,800; 95%-KI 0,728–0,872), gefolgt von HBP (AUC 0,773), PCT (0,761), suPAR (0,704). Nach Adjustierung für Alter/Geschlecht blieben ESM-1 (OR 3,30; 95%-KI 1,60–6,83; p=0,001), PCT (OR 1,41; p=0,002) und HBP (OR 1,04; p&lt;0,001) unabhängig mit moderat-schwerer ARDS assoziiert.</w:t>
      </w:r>
    </w:p>
    <w:p>
      <w:r>
        <w:rPr>
          <w:b/>
          <w:sz w:val="19"/>
        </w:rPr>
        <w:t xml:space="preserve">Übertragbarkeit: </w:t>
      </w:r>
      <w:r>
        <w:rPr>
          <w:sz w:val="19"/>
        </w:rPr>
        <w:t>China; Biomarker-Ansatz für Schwere-Stratifikation unabhängig vom System</w:t>
      </w:r>
    </w:p>
    <w:p>
      <w:r>
        <w:rPr>
          <w:color w:val="5A7D3A"/>
          <w:sz w:val="18"/>
        </w:rPr>
        <w:t>https://pubmed.ncbi.nlm.nih.gov/42894682/</w:t>
      </w:r>
    </w:p>
    <w:p>
      <w:pPr>
        <w:pStyle w:val="Heading2"/>
      </w:pPr>
      <w:r>
        <w:t>Simulation zeigt latente Sicherheitsrisiken bei internen Massenunfällen in Krankenhäusern</w:t>
      </w:r>
    </w:p>
    <w:p>
      <w:r>
        <w:rPr>
          <w:i/>
          <w:color w:val="666666"/>
          <w:sz w:val="18"/>
        </w:rPr>
        <w:t>Katz-Dana H et al.  ·  Disaster Med Public Health Prep  ·  19.10.2026  ·  PMID 42894412</w:t>
      </w:r>
    </w:p>
    <w:p>
      <w:r>
        <w:t>Multizentrische simulationsgestützte Systemtestung (SbCST) in zwei israelischen Krankenhäusern zur Identifikation latenter Sicherheitsbedrohungen (LST) bei internen Massenunfällen.</w:t>
      </w:r>
    </w:p>
    <w:p>
      <w:r>
        <w:rPr>
          <w:b/>
        </w:rPr>
        <w:t xml:space="preserve">Ergebnis: </w:t>
      </w:r>
      <w:r>
        <w:t>Zwei Krankenhäuser durchliefen in-situ-Simulation mit anschließender Failure-Modes-Effects-Analysis. Aus 75–80 Beobachtungen wurden 53 eindeutige LST extrahiert. Recurrente Vulnerabilität in: Führung, Patientenfluss, Kommunikation, Triage und Systemschnittstellen. Ein erheblicher Anteil wurde als hoch oder sehr hoch priorisiert bewertet (Median-FMEA-Scores: Standort 1 = 30 [IQR 24–36], Standort 2 = 32 [IQR 24–48]). Für etwa 60–65 % der LST wurden Minderungsmaßnahmen vorgeschlagen.</w:t>
      </w:r>
    </w:p>
    <w:p>
      <w:r>
        <w:rPr>
          <w:b/>
          <w:sz w:val="19"/>
        </w:rPr>
        <w:t xml:space="preserve">Übertragbarkeit: </w:t>
      </w:r>
      <w:r>
        <w:rPr>
          <w:sz w:val="19"/>
        </w:rPr>
        <w:t>Israel; Methodik und Sicherheitskultur-Befunde sind auf deutsches Krankenhaus-Notfallmanagement übertragbar</w:t>
      </w:r>
    </w:p>
    <w:p>
      <w:r>
        <w:rPr>
          <w:color w:val="5A7D3A"/>
          <w:sz w:val="18"/>
        </w:rPr>
        <w:t>https://pubmed.ncbi.nlm.nih.gov/42894412/</w:t>
      </w:r>
    </w:p>
    <w:p>
      <w:pPr>
        <w:pStyle w:val="Heading2"/>
      </w:pPr>
      <w:r>
        <w:t>Prophylaktische Antibiotika über 48 h nach Dickdarmresektionen verhindern Wundinfektionen nicht</w:t>
      </w:r>
    </w:p>
    <w:p>
      <w:r>
        <w:rPr>
          <w:i/>
          <w:color w:val="666666"/>
          <w:sz w:val="18"/>
        </w:rPr>
        <w:t>Yang Y et al.  ·  BMC Infect Dis  ·  01.09.2026  ·  PMID 42894129</w:t>
      </w:r>
    </w:p>
    <w:p>
      <w:r>
        <w:t>Retrospektive Analyse von 2691 Patienten mit Dickdarmresektion, um zu prüfen, ob verlängerte Prophylaxe die Infektionsrate senkt.</w:t>
      </w:r>
    </w:p>
    <w:p>
      <w:r>
        <w:rPr>
          <w:b/>
        </w:rPr>
        <w:t xml:space="preserve">Ergebnis: </w:t>
      </w:r>
      <w:r>
        <w:t>Bei 2691 Patienten betrug die Wundinfektionsrate 8,51 %, die Rate sonstiger nosokomialer Infektionen 8,06 %. Nach Propensity-Score-Matching war verlängerte Prophylaxe (&gt;48 h) mit SSI nicht assoziiert (OR 0,85; 95%-KI 0,59–1,21; p=0,356) und nicht mit anderen nosokomialen Infektionen (OR 0,81; 95%-KI 0,54–1,23; p=0,325). Die Gesamtkosten waren in der Gruppe mit verlängerter Prophylaxe höher (57.349 ¥ vs. 55.039 ¥; p=0,0006), ohne die Liegedauer zu verkürzen. Ergebnis: Verlängerte Prophylaxe bringt keinen Nutzen und erhöht Kosten.</w:t>
      </w:r>
    </w:p>
    <w:p>
      <w:r>
        <w:rPr>
          <w:b/>
          <w:sz w:val="19"/>
        </w:rPr>
        <w:t xml:space="preserve">Übertragbarkeit: </w:t>
      </w:r>
      <w:r>
        <w:rPr>
          <w:sz w:val="19"/>
        </w:rPr>
        <w:t>China, aber Outcome und Kosteneffektivität sind universell; Fragestellung unabhängig vom System</w:t>
      </w:r>
    </w:p>
    <w:p>
      <w:r>
        <w:rPr>
          <w:color w:val="5A7D3A"/>
          <w:sz w:val="18"/>
        </w:rPr>
        <w:t>https://pubmed.ncbi.nlm.nih.gov/42894129/</w:t>
      </w:r>
    </w:p>
    <w:p>
      <w:pPr>
        <w:pStyle w:val="Heading2"/>
      </w:pPr>
      <w:r>
        <w:t>Unangepasste Initialtherapie bei Pyelonephritis verzögert Krankenhausentlassung nicht</w:t>
      </w:r>
    </w:p>
    <w:p>
      <w:r>
        <w:rPr>
          <w:i/>
          <w:color w:val="666666"/>
          <w:sz w:val="18"/>
        </w:rPr>
        <w:t>Salinas-Mendoza S et al.  ·  BMC Infect Dis  ·  22.07.2026  ·  PMID 42894114</w:t>
      </w:r>
    </w:p>
    <w:p>
      <w:r>
        <w:t>Retrospektive Kohortenstudie von 321 Patienten mit ambulant erworbener akuter Pyelonephritis, um zu prüfen, ob unangepasste Initialtherapie den Krankenhausaufenthalt verlängert.</w:t>
      </w:r>
    </w:p>
    <w:p>
      <w:r>
        <w:rPr>
          <w:b/>
        </w:rPr>
        <w:t xml:space="preserve">Ergebnis: </w:t>
      </w:r>
      <w:r>
        <w:t>60 von 321 Patienten erhielten unangepasste Therapie (dokumentierte Resistenz im Urin). Mediane Liegedauer 2,64 Tage. Nach inverser Wahrscheinlichkeitsgewichtung war unangepasste Therapie nicht mit längerer Aufenthaltsdauer assoziiert (HR 0,97; 95%-KI 0,71–1,33) und nicht mit erhöhtem Wiederaufnahmerisiko in 30 Tagen (OR 1,42; 95%-KI 0,65–3,06; p nicht signifikant).</w:t>
      </w:r>
    </w:p>
    <w:p>
      <w:r>
        <w:rPr>
          <w:b/>
          <w:sz w:val="19"/>
        </w:rPr>
        <w:t xml:space="preserve">Übertragbarkeit: </w:t>
      </w:r>
      <w:r>
        <w:rPr>
          <w:sz w:val="19"/>
        </w:rPr>
        <w:t>Kolumbien; Konzept der Initialtherapie-Anpassung gilt auch in Deutschland</w:t>
      </w:r>
    </w:p>
    <w:p>
      <w:r>
        <w:rPr>
          <w:color w:val="5A7D3A"/>
          <w:sz w:val="18"/>
        </w:rPr>
        <w:t>https://pubmed.ncbi.nlm.nih.gov/42894114/</w:t>
      </w:r>
    </w:p>
    <w:p>
      <w:pPr>
        <w:pStyle w:val="Heading2"/>
      </w:pPr>
      <w:r>
        <w:t>Mikrobielle Bindungsverbände bei geschlossenen Operationswunden reduzieren Infektionen</w:t>
      </w:r>
    </w:p>
    <w:p>
      <w:r>
        <w:rPr>
          <w:i/>
          <w:color w:val="666666"/>
          <w:sz w:val="18"/>
        </w:rPr>
        <w:t>Günther B et al.  ·  J Wound Care  ·  08.10.2026  ·  PMID 42847510</w:t>
      </w:r>
    </w:p>
    <w:p>
      <w:r>
        <w:t>Fallsammlung zur Antibiotic-Stewardship-Rolle und Effektivität von Mikrobien-bindenden Wundauflagen bei geschlossenen operativen Wunden.</w:t>
      </w:r>
    </w:p>
    <w:p>
      <w:r>
        <w:rPr>
          <w:b/>
        </w:rPr>
        <w:t xml:space="preserve">Ergebnis: </w:t>
      </w:r>
      <w:r>
        <w:t>Die Fallserie dokumentiert, dass spezialisierte Wundauflagen mit mikrobieller Bindungskapazität in geschlossenen Wunden Infektionsereignisse reduzieren und gleichzeitig den Einsatz systemischer Antibiotika begrenzen. Die genauen Infektionsraten sind in dieser Fallsammlung nicht quantifiziert; der Fokus liegt auf der Darstellung des Stewardship-Nutzen und mechanistischen Ansatzes.</w:t>
      </w:r>
    </w:p>
    <w:p>
      <w:r>
        <w:rPr>
          <w:b/>
          <w:sz w:val="19"/>
        </w:rPr>
        <w:t xml:space="preserve">Übertragbarkeit: </w:t>
      </w:r>
      <w:r>
        <w:rPr>
          <w:sz w:val="19"/>
        </w:rPr>
        <w:t>Norwegen/Kanada; Wundbewirtschaftungsprinzipien gelten international</w:t>
      </w:r>
    </w:p>
    <w:p>
      <w:r>
        <w:rPr>
          <w:color w:val="5A7D3A"/>
          <w:sz w:val="18"/>
        </w:rPr>
        <w:t>https://pubmed.ncbi.nlm.nih.gov/42847510/</w:t>
      </w:r>
    </w:p>
    <w:p>
      <w:pPr>
        <w:pStyle w:val="Heading1"/>
      </w:pPr>
      <w:r>
        <w:t>Aufgenommen am 19.10.2026</w:t>
      </w:r>
    </w:p>
    <w:p>
      <w:pPr>
        <w:pStyle w:val="Heading2"/>
      </w:pPr>
      <w:r>
        <w:t>Invasive Verfahren erhöhen Mortalität bei älteren Patienten mit Blutbahninfektionen</w:t>
      </w:r>
    </w:p>
    <w:p>
      <w:r>
        <w:rPr>
          <w:i/>
          <w:color w:val="666666"/>
          <w:sz w:val="18"/>
        </w:rPr>
        <w:t>Yu Z et al.  ·  Clin Interv Aging  ·  12.10.2026  ·  PMID 42892862</w:t>
      </w:r>
    </w:p>
    <w:p>
      <w:r>
        <w:t>Retrospektive Kohortenstudie an 527 älteren Patienten (≥65 Jahre) mit Blutbahninfektionen in einer geriatrischen Klinik in Peking zur Identifikation von Mortalitätsprädiktoren.</w:t>
      </w:r>
    </w:p>
    <w:p>
      <w:r>
        <w:rPr>
          <w:b/>
        </w:rPr>
        <w:t xml:space="preserve">Ergebnis: </w:t>
      </w:r>
      <w:r>
        <w:t>Prolongierte mechanische Beatmung war der stärkste Mortalitätsfaktor (1–30 Tage: OR 12,70, 95%-KI 5,86–29,00; 31–90 Tage: OR 3,21, 95%-KI 1,53–6,89). Katheternutzung (zentral oder urethral für 1–60 Tage) und Chemotherapie/Strahlentherapie erhöhten die Mortalität ebenfalls signifikant (OR 2,56 bzw. 2,28 bzw. 3,25). Die Thrombozytenzahl war der beste prognostische Marker (AUC 0,79).</w:t>
      </w:r>
    </w:p>
    <w:p>
      <w:r>
        <w:rPr>
          <w:b/>
          <w:sz w:val="19"/>
        </w:rPr>
        <w:t xml:space="preserve">Übertragbarkeit: </w:t>
      </w:r>
      <w:r>
        <w:rPr>
          <w:sz w:val="19"/>
        </w:rPr>
        <w:t>China – Settings und Patienten unterscheiden sich von Deutschland, Befund zu invasiven Maßnahmen aber Versorgungsrelevanz</w:t>
      </w:r>
    </w:p>
    <w:p>
      <w:r>
        <w:rPr>
          <w:color w:val="5A7D3A"/>
          <w:sz w:val="18"/>
        </w:rPr>
        <w:t>https://pubmed.ncbi.nlm.nih.gov/42892862/</w:t>
      </w:r>
    </w:p>
    <w:p>
      <w:pPr>
        <w:pStyle w:val="Heading2"/>
      </w:pPr>
      <w:r>
        <w:t>Demenz-Nebenwirkungen: 33.772 FDA-Meldungen deuten auf Immunsuppressiva, Antipsychotika und Zytostatika</w:t>
      </w:r>
    </w:p>
    <w:p>
      <w:r>
        <w:rPr>
          <w:i/>
          <w:color w:val="666666"/>
          <w:sz w:val="18"/>
        </w:rPr>
        <w:t>Tao T et al.  ·  Medicine (Baltimore)  ·  16.10.2026  ·  PMID 42888596</w:t>
      </w:r>
    </w:p>
    <w:p>
      <w:r>
        <w:t>Pharmakovigilanz-Analyse von Demenz-assoziierten Nebenwirkungsberichten aus der FDA Adverse Event Reporting System (FAERS)-Datenbank von Q1 2004 bis Q1 2024 mit Disproportionalitätsanalyse.</w:t>
      </w:r>
    </w:p>
    <w:p>
      <w:r>
        <w:rPr>
          <w:b/>
        </w:rPr>
        <w:t xml:space="preserve">Ergebnis: </w:t>
      </w:r>
      <w:r>
        <w:t>33.772 Berichte zu 1.103 Verdachtsdrogen wurden identifiziert. Immunsuppressiva, Psycholeptika und Antineoplastika waren die am häufigsten gemeldeten Kategorien. Apixaban zeigte die höchsten Fallzahlen, gefolgt von Pimavanserin und Lenalidomid. Disproportionalitätsanalyse ergab 191 Drogen mit potentiellen Demenz-Signalen und 135 mit Effektmodifikation.</w:t>
      </w:r>
    </w:p>
    <w:p>
      <w:r>
        <w:rPr>
          <w:b/>
          <w:sz w:val="19"/>
        </w:rPr>
        <w:t xml:space="preserve">Übertragbarkeit: </w:t>
      </w:r>
      <w:r>
        <w:rPr>
          <w:sz w:val="19"/>
        </w:rPr>
        <w:t>USA FAERS-Datenbank – Signale müssen in europäischen Registern validiert werden, Meldequoten nicht direkt vergleichbar</w:t>
      </w:r>
    </w:p>
    <w:p>
      <w:r>
        <w:rPr>
          <w:color w:val="5A7D3A"/>
          <w:sz w:val="18"/>
        </w:rPr>
        <w:t>https://pubmed.ncbi.nlm.nih.gov/42888596/</w:t>
      </w:r>
    </w:p>
    <w:p>
      <w:pPr>
        <w:pStyle w:val="Heading2"/>
      </w:pPr>
      <w:r>
        <w:t>Medikamentenverschwendung auf Intensivstationen: Kategorien, aber keine Interventionsergebnisse</w:t>
      </w:r>
    </w:p>
    <w:p>
      <w:r>
        <w:rPr>
          <w:i/>
          <w:color w:val="666666"/>
          <w:sz w:val="18"/>
        </w:rPr>
        <w:t>Liang L et al.  ·  Nurs Crit Care  ·  Nov. 2026  ·  PMID 42885869</w:t>
      </w:r>
    </w:p>
    <w:p>
      <w:r>
        <w:t>Gemischte systematische Übersicht zu Erfassung, Mechanismen und Prävention von intravenöser Medikamentenverschwendung auf Intensivstationen in 25 Berichten aus 21 unabhängigen Studien.</w:t>
      </w:r>
    </w:p>
    <w:p>
      <w:r>
        <w:rPr>
          <w:b/>
        </w:rPr>
        <w:t xml:space="preserve">Ergebnis: </w:t>
      </w:r>
      <w:r>
        <w:t>Verschwendung gliederte sich in fünf Kategorien: ungenutzte Präparate, Verlust nach Verordnung oder Ereignis, Restmengen in Behältern, Rückstände in Systemen und Materialfluss-Verluste. Nur 10 von 21 Studien nannten explizit den Nenner; keine Studie verband Verschwendung mit Patientenergebnissen. Interventionsevidenz war unkontrolliert oder modelliert.</w:t>
      </w:r>
    </w:p>
    <w:p>
      <w:r>
        <w:rPr>
          <w:b/>
          <w:sz w:val="19"/>
        </w:rPr>
        <w:t xml:space="preserve">Übertragbarkeit: </w:t>
      </w:r>
      <w:r>
        <w:rPr>
          <w:sz w:val="19"/>
        </w:rPr>
        <w:t>UK und Mehrländer – Dokumentationsstandards ähnlich Deutschland, Problem versorgungsrelevant</w:t>
      </w:r>
    </w:p>
    <w:p>
      <w:r>
        <w:rPr>
          <w:color w:val="5A7D3A"/>
          <w:sz w:val="18"/>
        </w:rPr>
        <w:t>https://pubmed.ncbi.nlm.nih.gov/42885869/</w:t>
      </w:r>
    </w:p>
    <w:p>
      <w:pPr>
        <w:pStyle w:val="Heading2"/>
      </w:pPr>
      <w:r>
        <w:t>Blutglukose kontrolliert Armfunktion nach traumatischer Infektion – frühe Reha hilft teilweise</w:t>
      </w:r>
    </w:p>
    <w:p>
      <w:r>
        <w:rPr>
          <w:i/>
          <w:color w:val="666666"/>
          <w:sz w:val="18"/>
        </w:rPr>
        <w:t>Chen S et al.  ·  J Plast Surg Hand Surg  ·  16.10.2026  ·  PMID 42885545</w:t>
      </w:r>
    </w:p>
    <w:p>
      <w:r>
        <w:t>Retrospektive Kohortenstudie mit 100 Patienten mit Fraktur-assoziierten Infektionen (FRI) nach Oberlimben-Trauma zur Untersuchung der Assoziation zwischen präoperativem HbA1c und Armfunktion (DASH-Score) nach 6 Monaten sowie der vermittelnden Rolle der Reha-Initiation.</w:t>
      </w:r>
    </w:p>
    <w:p>
      <w:r>
        <w:rPr>
          <w:b/>
        </w:rPr>
        <w:t xml:space="preserve">Ergebnis: </w:t>
      </w:r>
      <w:r>
        <w:t>HbA1c war signifikant positiv mit DASH-Score assoziiert (β=6,90, 95%-KI 3,91–9,89, p&lt;0,001). Rehabilitation-Initiierungszeit spielte eine Teilmediation: indirekte Effekt 2,04 (95%-KI 0,63–3,59, p=0,004), Mediationsanteil 27%. Kein signifikanter Interaktionseffekt mit HbA1c oder Débridement-Häufigkeit.</w:t>
      </w:r>
    </w:p>
    <w:p>
      <w:r>
        <w:rPr>
          <w:b/>
          <w:sz w:val="19"/>
        </w:rPr>
        <w:t xml:space="preserve">Übertragbarkeit: </w:t>
      </w:r>
      <w:r>
        <w:rPr>
          <w:sz w:val="19"/>
        </w:rPr>
        <w:t>China – Prinzip der Glykämie-Kontrolle und frühester Reha-Initiation universell, Outcome-Messung vergleichbar</w:t>
      </w:r>
    </w:p>
    <w:p>
      <w:r>
        <w:rPr>
          <w:color w:val="5A7D3A"/>
          <w:sz w:val="18"/>
        </w:rPr>
        <w:t>https://pubmed.ncbi.nlm.nih.gov/42885545/</w:t>
      </w:r>
    </w:p>
    <w:p>
      <w:pPr>
        <w:pStyle w:val="Heading2"/>
      </w:pPr>
      <w:r>
        <w:t>Katheter-assoziierte Harnwegsinfektionen: bisherige Vorhersagemodelle unbrauchbar</w:t>
      </w:r>
    </w:p>
    <w:p>
      <w:r>
        <w:rPr>
          <w:i/>
          <w:color w:val="666666"/>
          <w:sz w:val="18"/>
        </w:rPr>
        <w:t>Mengqi Z et al.  ·  Front Public Health  ·  30.09.2026  ·  PMID 42877209</w:t>
      </w:r>
    </w:p>
    <w:p>
      <w:r>
        <w:t>Systematische Übersicht mit kritischer Bewertung von 18 publizierten Vorhersagemodellen für katheter-assoziierte Harnwegsinfektionen (CAUTI) bei erwachsenen stationären Patienten.</w:t>
      </w:r>
    </w:p>
    <w:p>
      <w:r>
        <w:rPr>
          <w:b/>
        </w:rPr>
        <w:t xml:space="preserve">Ergebnis: </w:t>
      </w:r>
      <w:r>
        <w:t>Alle 13 Berichte wurden wegen hohen Verzerrungsrisiko bewertet, hauptsächlich durch zeitliche Datenüberlappung, unzureichendes Events-pro-Variable-Verhältnis und fehlende externe Validierung. Nur zwei Modelle führten externe Validierung durch (AUC 0,758 und 0,970). Keine der bisherigen Arbeiten reicht für klinische Implementierung aus.</w:t>
      </w:r>
    </w:p>
    <w:p>
      <w:r>
        <w:rPr>
          <w:b/>
          <w:sz w:val="19"/>
        </w:rPr>
        <w:t xml:space="preserve">Übertragbarkeit: </w:t>
      </w:r>
      <w:r>
        <w:rPr>
          <w:sz w:val="19"/>
        </w:rPr>
        <w:t>Mehrländische Analyse – unterstreicht Forschungslücke auch für Deutschland</w:t>
      </w:r>
    </w:p>
    <w:p>
      <w:r>
        <w:rPr>
          <w:color w:val="5A7D3A"/>
          <w:sz w:val="18"/>
        </w:rPr>
        <w:t>https://pubmed.ncbi.nlm.nih.gov/42877209/</w:t>
      </w:r>
    </w:p>
    <w:p>
      <w:pPr>
        <w:pStyle w:val="Heading2"/>
      </w:pPr>
      <w:r>
        <w:t>Medikamenteninduzierte Gallengangsverluste: benigne Prognose trotz verzögerter Erholung</w:t>
      </w:r>
    </w:p>
    <w:p>
      <w:r>
        <w:rPr>
          <w:i/>
          <w:color w:val="666666"/>
          <w:sz w:val="18"/>
        </w:rPr>
        <w:t>Bessone F et al.  ·  Liver Int  ·  Nov. 2026  ·  PMID 42860753</w:t>
      </w:r>
    </w:p>
    <w:p>
      <w:r>
        <w:t>Prospektive multinationale Registerstudie (Spanien, Lateinamerika) mit Leberbiopsien bei 298 Patienten zur Charakterisierung von arzneimittelinduzierten Gallengangverlusten (Drug-Induced Ductopenia, DID) und Langzeitergebnissen.</w:t>
      </w:r>
    </w:p>
    <w:p>
      <w:r>
        <w:rPr>
          <w:b/>
        </w:rPr>
        <w:t xml:space="preserve">Ergebnis: </w:t>
      </w:r>
      <w:r>
        <w:t>10 Fälle (3,4%) erfüllten DID-Kriterien (Ausfall interlobulärer Gallengänge in &gt;50% der Portaltrakte). Alle zeigten Ikterus, 40% einen Hautausschlag (vs. 9,4% ohne DID; p=0,013). Gesamtbilirubin war signifikant höher (Median 12 mg/dL vs. 6,6 mg/dL; p=0,027). Kein Tod oder Lebertransplantation trat auf; biochemische Erholung wurde in den meisten Fällen erreicht, teilweise verzögert.</w:t>
      </w:r>
    </w:p>
    <w:p>
      <w:r>
        <w:rPr>
          <w:b/>
          <w:sz w:val="19"/>
        </w:rPr>
        <w:t xml:space="preserve">Übertragbarkeit: </w:t>
      </w:r>
      <w:r>
        <w:rPr>
          <w:sz w:val="19"/>
        </w:rPr>
        <w:t>Spanien, Lateinamerika – vergleichbare Meldesysteme, DILI-Registry-Modell informativ für Deutschland</w:t>
      </w:r>
    </w:p>
    <w:p>
      <w:r>
        <w:rPr>
          <w:color w:val="5A7D3A"/>
          <w:sz w:val="18"/>
        </w:rPr>
        <w:t>https://pubmed.ncbi.nlm.nih.gov/42860753/</w:t>
      </w:r>
    </w:p>
    <w:p>
      <w:pPr>
        <w:pStyle w:val="Heading1"/>
      </w:pPr>
      <w:r>
        <w:t>Aufgenommen am 18.10.2026</w:t>
      </w:r>
    </w:p>
    <w:p>
      <w:pPr>
        <w:pStyle w:val="Heading2"/>
      </w:pPr>
      <w:r>
        <w:t>Antibiotic-Stewardship bei Leberzirrhose: Evidence-Lücken und Handlungsbedarf</w:t>
      </w:r>
    </w:p>
    <w:p>
      <w:r>
        <w:rPr>
          <w:i/>
          <w:color w:val="666666"/>
          <w:sz w:val="18"/>
        </w:rPr>
        <w:t>Ezzafzafi S et al.  ·  United European Gastroenterol J  ·  Okt. 2026  ·  PMID 42888911</w:t>
      </w:r>
    </w:p>
    <w:p>
      <w:r>
        <w:t>Narrative Übersicht der Evidenz hinter internationalen Leitlinien-Empfehlungen zu Antibiotic-Prophylaxe und empirischer Behandlung bei Zirrhose, mit kritischer Bewertung des Validitätszustands in der Ära multiresistenter Erreger.</w:t>
      </w:r>
    </w:p>
    <w:p>
      <w:r>
        <w:rPr>
          <w:b/>
        </w:rPr>
        <w:t xml:space="preserve">Ergebnis: </w:t>
      </w:r>
      <w:r>
        <w:t>Die Autoren zeigen, dass die zugrundeliegende Evidenz begrenzt ist und älter als die aktuelle Ära multiresistenter Erreger. Primärprophylaxe sollte neu überdacht werden, Rifaximin verdient Evaluation gegen etablierte Fluorochinolon-Regime, kürzere Antibiotika-Kurse könnten Standard-Durations nicht unterlegen sein. Neue doppelblind-kontrollierte Nicht-Unterlegenheits- und Bayesianische Studien sind erforderlich.</w:t>
      </w:r>
    </w:p>
    <w:p>
      <w:r>
        <w:rPr>
          <w:b/>
          <w:sz w:val="19"/>
        </w:rPr>
        <w:t xml:space="preserve">Übertragbarkeit: </w:t>
      </w:r>
      <w:r>
        <w:rPr>
          <w:sz w:val="19"/>
        </w:rPr>
        <w:t>Niederlande/UK, europäische Versorgungsrealität, direkter Antibiotic-Stewardship-Bezug</w:t>
      </w:r>
    </w:p>
    <w:p>
      <w:r>
        <w:rPr>
          <w:color w:val="5A7D3A"/>
          <w:sz w:val="18"/>
        </w:rPr>
        <w:t>https://pubmed.ncbi.nlm.nih.gov/42888911/</w:t>
      </w:r>
    </w:p>
    <w:p>
      <w:pPr>
        <w:pStyle w:val="Heading2"/>
      </w:pPr>
      <w:r>
        <w:t>Besuchssperre auf Intensivstation senkte nosokomiale Infektionen um zwei Drittel</w:t>
      </w:r>
    </w:p>
    <w:p>
      <w:r>
        <w:rPr>
          <w:i/>
          <w:color w:val="666666"/>
          <w:sz w:val="18"/>
        </w:rPr>
        <w:t>Ersoy Karka O et al.  ·  Medicine (Baltimore)  ·  16.10.2026  ·  PMID 42888540</w:t>
      </w:r>
    </w:p>
    <w:p>
      <w:r>
        <w:t>Vergleich der Infektionsraten zwischen Vor-Pandemie-Phase mit eingeschränktem Besuch und Pandemie-Phase mit Besuchsverbot in einer nichtCOVID-Intensivstation der Türkei (März 2019 bis März 2021).</w:t>
      </w:r>
    </w:p>
    <w:p>
      <w:r>
        <w:rPr>
          <w:b/>
        </w:rPr>
        <w:t xml:space="preserve">Ergebnis: </w:t>
      </w:r>
      <w:r>
        <w:t>Die Infektionsrate war in der Besuchssperre-Gruppe (6,1 %) signifikant niedriger als in der Kontrollgruppe (22,0 %, p&lt;0,001). In der episodengestützten Analyse: 10,4 % versus 33,0 % (p&lt;0,001). Die Zeit bis zum Infektionsbeginn war in der Besuchssperre-Gruppe signifikant länger (p=0,003). Beatmungsassoziierte Pneumonie zeigte standardisiertes Infektionsverhältnis-Reduktion (p=0,02); Acinetobacter-Isolate waren deutlich weniger häufig. Procalcitonin, CRP, Leukozyten und Laktat waren in der Besuchssperre-Phase signifikant niedriger.</w:t>
      </w:r>
    </w:p>
    <w:p>
      <w:r>
        <w:rPr>
          <w:b/>
          <w:sz w:val="19"/>
        </w:rPr>
        <w:t xml:space="preserve">Übertragbarkeit: </w:t>
      </w:r>
      <w:r>
        <w:rPr>
          <w:sz w:val="19"/>
        </w:rPr>
        <w:t>Türkei, Mehrschicht-Kontrollmaßnahmen in der Pandemie, Ergebnis nicht allein dem Besuchsverbot zurechenbar</w:t>
      </w:r>
    </w:p>
    <w:p>
      <w:r>
        <w:rPr>
          <w:color w:val="5A7D3A"/>
          <w:sz w:val="18"/>
        </w:rPr>
        <w:t>https://pubmed.ncbi.nlm.nih.gov/42888540/</w:t>
      </w:r>
    </w:p>
    <w:p>
      <w:pPr>
        <w:pStyle w:val="Heading2"/>
      </w:pPr>
      <w:r>
        <w:t>Blutkultur-positive Episoden in der Neonatologie: Wie Ärzte Infektion von Kontamination unterscheiden</w:t>
      </w:r>
    </w:p>
    <w:p>
      <w:r>
        <w:rPr>
          <w:i/>
          <w:color w:val="666666"/>
          <w:sz w:val="18"/>
        </w:rPr>
        <w:t>Schnee SV et al.  ·  BMC Infect Dis  ·  15.10.2026  ·  PMID 42888396</w:t>
      </w:r>
    </w:p>
    <w:p>
      <w:r>
        <w:t>Retrospektive Analyse von 189 blutkultur-positiven Episoden in einer deutschen Neugeborenen-Intensivstation (2014–2024), wie klinische Teams zwischen Infektion und Kontamination differenzieren.</w:t>
      </w:r>
    </w:p>
    <w:p>
      <w:r>
        <w:rPr>
          <w:b/>
        </w:rPr>
        <w:t xml:space="preserve">Ergebnis: </w:t>
      </w:r>
      <w:r>
        <w:t>Von 189 Episoden wurden 125 (66,1 %) als Infektion und 64 (33,9 %) als Kontamination attribuiert. Bei Koagulase-negativen Staphylokokken (CoNS) in der Spätphase wurden 64 von 101 Fällen (63,4 %) als Infektion klassifiziert, während in der Frühphase alle 13 CoNS-Fälle als Kontamination eingestuft wurden. Das maximale CRP zeigte die stärkste Assoziation mit der Attribuierung als Infektion (adjustiertes OR 4,41; 95%-KI 2,59–7,51). Die Ergebnisse beschreiben real-world-Praxis, nicht diagnostische Genauigkeit, und unterstreichen Bedarf für reproduzierbare Kriterien zur Unterstützung von Antibiotic Stewardship.</w:t>
      </w:r>
    </w:p>
    <w:p>
      <w:r>
        <w:rPr>
          <w:b/>
          <w:sz w:val="19"/>
        </w:rPr>
        <w:t xml:space="preserve">Übertragbarkeit: </w:t>
      </w:r>
      <w:r>
        <w:rPr>
          <w:sz w:val="19"/>
        </w:rPr>
        <w:t>Deutsche Klinikdaten, NICU mit vergleichbarem Dokumentationsstandard</w:t>
      </w:r>
    </w:p>
    <w:p>
      <w:r>
        <w:rPr>
          <w:color w:val="5A7D3A"/>
          <w:sz w:val="18"/>
        </w:rPr>
        <w:t>https://pubmed.ncbi.nlm.nih.gov/42888396/</w:t>
      </w:r>
    </w:p>
    <w:p>
      <w:pPr>
        <w:pStyle w:val="Heading2"/>
      </w:pPr>
      <w:r>
        <w:t>Beatmungsassoziierte Pneumonie: Diagnose neu definieren – Erreger allein reicht nicht</w:t>
      </w:r>
    </w:p>
    <w:p>
      <w:r>
        <w:rPr>
          <w:i/>
          <w:color w:val="666666"/>
          <w:sz w:val="18"/>
        </w:rPr>
        <w:t>Martin-Loeches I et al.  ·  Nat Commun  ·  16.10.2026  ·  PMID 42888246</w:t>
      </w:r>
    </w:p>
    <w:p>
      <w:r>
        <w:t>Perspektive zur Neukonzeptualisierung der Diagnose beatmungsassoziierter Pneumonie jenseits reiner Erregerdetektione, mit expliziter Bewertung der kausalen Plausibilität des Erregers für die aktuelle Lungenverletzung.</w:t>
      </w:r>
    </w:p>
    <w:p>
      <w:r>
        <w:rPr>
          <w:b/>
        </w:rPr>
        <w:t xml:space="preserve">Ergebnis: </w:t>
      </w:r>
      <w:r>
        <w:t>Der Rahmen schlägt eine explizite, gestufte und überprüfbare Bewertung vor, ob ein nachgewiesener Organismus die aktuelle Lungenverletzung plausibel verursacht. Das Framework umfasst Pneumonie während Beatmung, Pneumonie vor Intubation und Pneumonie bei nicht-beatmeten ICU-Patienten und sieht formale Neubewertung nach 48–72 Stunden vor, um Behandlung fortzusetzen, zu verengen oder zu beenden.</w:t>
      </w:r>
    </w:p>
    <w:p>
      <w:r>
        <w:rPr>
          <w:b/>
          <w:sz w:val="19"/>
        </w:rPr>
        <w:t xml:space="preserve">Übertragbarkeit: </w:t>
      </w:r>
      <w:r>
        <w:rPr>
          <w:sz w:val="19"/>
        </w:rPr>
        <w:t>Irland/Spanien, europäische ICU-Praxis, Diagnostic Stewardship-Konzept</w:t>
      </w:r>
    </w:p>
    <w:p>
      <w:r>
        <w:rPr>
          <w:color w:val="5A7D3A"/>
          <w:sz w:val="18"/>
        </w:rPr>
        <w:t>https://pubmed.ncbi.nlm.nih.gov/42888246/</w:t>
      </w:r>
    </w:p>
    <w:p>
      <w:pPr>
        <w:pStyle w:val="Heading2"/>
      </w:pPr>
      <w:r>
        <w:t>Hautdesinfektions-Umfang bei Hüftoperation reduziert Kontaminationsrisiko messbar</w:t>
      </w:r>
    </w:p>
    <w:p>
      <w:r>
        <w:rPr>
          <w:i/>
          <w:color w:val="666666"/>
          <w:sz w:val="18"/>
        </w:rPr>
        <w:t>Verhelst L et al.  ·  Acta Orthop Belg  ·  08.10.2026  ·  PMID 42885457</w:t>
      </w:r>
    </w:p>
    <w:p>
      <w:r>
        <w:t>Proof-of-concept-Studie an 6 Hautdesinfektions- und Abdeckungsprotokollen für die direkt-anteriore Hüftarthroplastie mit fluoreszierentem Kontaminationsmodell.</w:t>
      </w:r>
    </w:p>
    <w:p>
      <w:r>
        <w:rPr>
          <w:b/>
        </w:rPr>
        <w:t xml:space="preserve">Ergebnis: </w:t>
      </w:r>
      <w:r>
        <w:t>Keine Kontamination bei den vier ausgedehntesten Desinfektionsstrategien. Kontamination trat in 28,6 % der Fälle auf, wenn Fuß und Knöchel ausgeschlossen wurden, und in 57,1 %, wenn die Vorbereitung auf den Bereich oberhalb des Knies begrenzt war. Das Heben des Beins zur Desinfektion der Rückseite oder die Desinfektion des kontralateralen Beins reduzierte das Kontaminationsrisiko nicht.</w:t>
      </w:r>
    </w:p>
    <w:p>
      <w:r>
        <w:rPr>
          <w:b/>
          <w:sz w:val="19"/>
        </w:rPr>
        <w:t xml:space="preserve">Übertragbarkeit: </w:t>
      </w:r>
      <w:r>
        <w:rPr>
          <w:sz w:val="19"/>
        </w:rPr>
        <w:t>Belgien, vergleichbares OP-Standard-Managementsystem, Ergebnis übertragbar</w:t>
      </w:r>
    </w:p>
    <w:p>
      <w:r>
        <w:rPr>
          <w:color w:val="5A7D3A"/>
          <w:sz w:val="18"/>
        </w:rPr>
        <w:t>https://pubmed.ncbi.nlm.nih.gov/42885457/</w:t>
      </w:r>
    </w:p>
    <w:p>
      <w:pPr>
        <w:pStyle w:val="Heading2"/>
      </w:pPr>
      <w:r>
        <w:t>Risikomanagementsystem identifiziert 20 kritische Fehlerquellen bei Antipsychotika-Versorgung</w:t>
      </w:r>
    </w:p>
    <w:p>
      <w:r>
        <w:rPr>
          <w:i/>
          <w:color w:val="666666"/>
          <w:sz w:val="18"/>
        </w:rPr>
        <w:t>Felício LR et al.  ·  Cien Saude Colet  ·  09.10.2026  ·  PMID 42879620</w:t>
      </w:r>
    </w:p>
    <w:p>
      <w:r>
        <w:t>Qualitative Risikoanalyse der Zugangsbarrieren zu Antipsychotika in Brasilien (Basiskomponente vs. Spezialkomponente) unter Anwendung systematischer Risikobewertung.</w:t>
      </w:r>
    </w:p>
    <w:p>
      <w:r>
        <w:rPr>
          <w:b/>
        </w:rPr>
        <w:t xml:space="preserve">Ergebnis: </w:t>
      </w:r>
      <w:r>
        <w:t>20 Risikofälle identifiziert: 12 in Basiskomponente (60 %), 11 in Spezialkomponente (55 %), davon 7 gemeinsam. Beide Komponenten zeigen hohe und sehr hohe Risiken, die Mitigation erfordern. Risk Management half, Medikamentenzugang zu diskutieren und Entscheidungsfindung im Pharmazie-Management zu leiten. Weitergabe oder Transition zwischen Komponenten sollte sich an der Fähigkeit orientieren, Managementrisiken zu mindern.</w:t>
      </w:r>
    </w:p>
    <w:p>
      <w:r>
        <w:rPr>
          <w:b/>
          <w:sz w:val="19"/>
        </w:rPr>
        <w:t xml:space="preserve">Übertragbarkeit: </w:t>
      </w:r>
      <w:r>
        <w:rPr>
          <w:sz w:val="19"/>
        </w:rPr>
        <w:t>Brasilien, Risikomanagementsystem systematisch auf Medikations-Versorgung angewendet, Übertragbarkeit gering</w:t>
      </w:r>
    </w:p>
    <w:p>
      <w:r>
        <w:rPr>
          <w:color w:val="5A7D3A"/>
          <w:sz w:val="18"/>
        </w:rPr>
        <w:t>https://pubmed.ncbi.nlm.nih.gov/42879620/</w:t>
      </w:r>
    </w:p>
    <w:p>
      <w:pPr>
        <w:pStyle w:val="Heading1"/>
      </w:pPr>
      <w:r>
        <w:t>Aufgenommen am 17.10.2026</w:t>
      </w:r>
    </w:p>
    <w:p>
      <w:pPr>
        <w:pStyle w:val="Heading2"/>
      </w:pPr>
      <w:r>
        <w:t>Schnelle Mikrodiagnostik bei Bakteriämie verkürzte Antibiotikaanpassung um 16 Stunden</w:t>
      </w:r>
    </w:p>
    <w:p>
      <w:r>
        <w:rPr>
          <w:i/>
          <w:color w:val="666666"/>
          <w:sz w:val="18"/>
        </w:rPr>
        <w:t>Pérez G et al.  ·  Medicina (B Aires)  ·  2026  ·  PMID 42886952</w:t>
      </w:r>
    </w:p>
    <w:p>
      <w:r>
        <w:t>Quasi-experimentelle Studie zur Integration von FilmArray-Schnelldiagnostik in ein Antibiotic-Stewardship-Programm für hospitalisierte Kinder mit Bakteriämie.</w:t>
      </w:r>
    </w:p>
    <w:p>
      <w:r>
        <w:rPr>
          <w:b/>
        </w:rPr>
        <w:t xml:space="preserve">Ergebnis: </w:t>
      </w:r>
      <w:r>
        <w:t>Reportingzeit sank von 26 Stunden auf 6 Stunden (p=0,001); Antibiotikaanpassungen nahmen von 41% auf 55% innerhalb 48 Stunden zu (p=0,02); Tage mit empirischem Meropenem und Vancomycin reduzierten sich signifikant. Intervention optimiert Ressourceneinsatz und Patientensicherheit.</w:t>
      </w:r>
    </w:p>
    <w:p>
      <w:r>
        <w:rPr>
          <w:b/>
          <w:sz w:val="19"/>
        </w:rPr>
        <w:t xml:space="preserve">Übertragbarkeit: </w:t>
      </w:r>
      <w:r>
        <w:rPr>
          <w:sz w:val="19"/>
        </w:rPr>
        <w:t>Argentinische Klinikdaten, Organisationsmodell auf deutsches Stewardship übertragbar</w:t>
      </w:r>
    </w:p>
    <w:p>
      <w:r>
        <w:rPr>
          <w:color w:val="5A7D3A"/>
          <w:sz w:val="18"/>
        </w:rPr>
        <w:t>https://pubmed.ncbi.nlm.nih.gov/42886952/</w:t>
      </w:r>
    </w:p>
    <w:p>
      <w:pPr>
        <w:pStyle w:val="Heading2"/>
      </w:pPr>
      <w:r>
        <w:t>VAP-Prävention auf Respiratorischer ICU: MDR-Problematik und höhere Mortalität</w:t>
      </w:r>
    </w:p>
    <w:p>
      <w:r>
        <w:rPr>
          <w:i/>
          <w:color w:val="666666"/>
          <w:sz w:val="18"/>
        </w:rPr>
        <w:t>Pandey R et al.  ·  J Nepal Health Res Counc  ·  15.10.2026  ·  PMID 42881501</w:t>
      </w:r>
    </w:p>
    <w:p>
      <w:r>
        <w:t>Prospektive Beobachtungsstudie zu Prävalenz, Mikrobiologie, Resistenzmustern und Outcomes nosokomialer Infektionen auf einer respiratorischen Intensivstation in Nepal.</w:t>
      </w:r>
    </w:p>
    <w:p>
      <w:r>
        <w:rPr>
          <w:b/>
        </w:rPr>
        <w:t xml:space="preserve">Ergebnis: </w:t>
      </w:r>
      <w:r>
        <w:t>Von 121 Aufnahmen entwickelten 42 Patienten 50 HAI-Episoden (Prävalenz 34,7%); VAP am häufigsten. Acinetobacter baumannii 42%, Klebsiella pneumoniae 18%. Resistenz zu Ceftriaxon, Piperacillin-Tazobactam 85,8%–77,8%, Carbapeneme 92%–90%. Tigecyclin-Resistenz 20% (Acinetobacter), Polymyxin-B-Sensitivität 100%. HAI-Patienten: ICU-Verweildauer länger (9,5 vs. 5,2 Tage; p=0,001), Mortalität höher (28,6% vs. 13,9%; p=0,04).</w:t>
      </w:r>
    </w:p>
    <w:p>
      <w:r>
        <w:rPr>
          <w:b/>
          <w:sz w:val="19"/>
        </w:rPr>
        <w:t xml:space="preserve">Übertragbarkeit: </w:t>
      </w:r>
      <w:r>
        <w:rPr>
          <w:sz w:val="19"/>
        </w:rPr>
        <w:t>Nepal, ähnliche Ressourcenlage wie südosteuropäische Länder, begrenzte Übertragbarkeit auf deutsche Strukturen</w:t>
      </w:r>
    </w:p>
    <w:p>
      <w:r>
        <w:rPr>
          <w:color w:val="5A7D3A"/>
          <w:sz w:val="18"/>
        </w:rPr>
        <w:t>https://pubmed.ncbi.nlm.nih.gov/42881501/</w:t>
      </w:r>
    </w:p>
    <w:p>
      <w:pPr>
        <w:pStyle w:val="Heading2"/>
      </w:pPr>
      <w:r>
        <w:t>Blutkultur-Status bei Kindersepsis kein unabhängiger Mortalitätsprädiktor</w:t>
      </w:r>
    </w:p>
    <w:p>
      <w:r>
        <w:rPr>
          <w:i/>
          <w:color w:val="666666"/>
          <w:sz w:val="18"/>
        </w:rPr>
        <w:t>Xing D et al.  ·  Front Cell Infect Microbiol  ·  30.09.2026  ·  PMID 42876847</w:t>
      </w:r>
    </w:p>
    <w:p>
      <w:r>
        <w:t>Retrospektive Kohortenstudie zu 234 Septisepisoden bei 209 pädiatrisch-onkologischen Patienten auf der Pädiatrischen Intensivstation zur Assoziation zwischen Blutkultur-Positivität und stationärer Mortalität.</w:t>
      </w:r>
    </w:p>
    <w:p>
      <w:r>
        <w:rPr>
          <w:b/>
        </w:rPr>
        <w:t xml:space="preserve">Ergebnis: </w:t>
      </w:r>
      <w:r>
        <w:t>Blutkultur-positiv in 48 Episoden (20,5%); Todesfälle in 45 Episoden (19,2%). Nach Adjustierung für Clustering innerhalb Patienten war Blutkultur-Positivität nicht unabhängig mit Mortalität assoziiert (OR=1,412; 95%-KI 0,536–3,719; p=0,485). Höhere Laktat und vasoaktiv-inotroper Score waren unabhängig mit erhöhter Mortalität assoziiert; höhere PaO₂/FiO₂ und Thrombozyten mit niedrigerer. Unterscheidet zwischen echtem Infektionsnachweis und diagnostischen Markern.</w:t>
      </w:r>
    </w:p>
    <w:p>
      <w:r>
        <w:rPr>
          <w:b/>
          <w:sz w:val="19"/>
        </w:rPr>
        <w:t xml:space="preserve">Übertragbarkeit: </w:t>
      </w:r>
      <w:r>
        <w:rPr>
          <w:sz w:val="19"/>
        </w:rPr>
        <w:t>China, immunoinkompetente Hochrisikopopulation, Methodik auf deutsches Sepsis-Management anwendbar</w:t>
      </w:r>
    </w:p>
    <w:p>
      <w:r>
        <w:rPr>
          <w:color w:val="5A7D3A"/>
          <w:sz w:val="18"/>
        </w:rPr>
        <w:t>https://pubmed.ncbi.nlm.nih.gov/42876847/</w:t>
      </w:r>
    </w:p>
    <w:p>
      <w:pPr>
        <w:pStyle w:val="Heading2"/>
      </w:pPr>
      <w:r>
        <w:t>Therapeutische Präsenz und 'Landing Aid' ermöglichen sichere Ketamin-Behandlung in Psychiatrie</w:t>
      </w:r>
    </w:p>
    <w:p>
      <w:r>
        <w:rPr>
          <w:i/>
          <w:color w:val="666666"/>
          <w:sz w:val="18"/>
        </w:rPr>
        <w:t>Kind A et al.  ·  BMC Med Ethics  ·  08.10.2026  ·  PMID 42870247</w:t>
      </w:r>
    </w:p>
    <w:p>
      <w:r>
        <w:t>Qualitative Studie mit Interviews von 14 Patienten und 10 Klinikern zu Sicherheitserleben während Esketamin- oder Ketamin-Infusionsbehandlung in deutschen psychiatrischen Kliniken.</w:t>
      </w:r>
    </w:p>
    <w:p>
      <w:r>
        <w:rPr>
          <w:b/>
        </w:rPr>
        <w:t xml:space="preserve">Ergebnis: </w:t>
      </w:r>
      <w:r>
        <w:t>Drei zentrale Faktoren für Sicherheit identifiziert: therapeutische Präsenz, aktive physische Erdung und strukturierte post-akute Übergangshilfe ('Landing Aid'). Kliniker und Patienten zeigten unterschiedliche Verständnismodelle für Ketamins Wirkmechanismus – Transformation vs. temporäre Symptomlinderung – mit Implikationen für Vorbereitung und Nachsorge. Flexible, patientenzentrierte Pflege über nicht verhandelbarem Sicherheitsminimum erforderlich.</w:t>
      </w:r>
    </w:p>
    <w:p>
      <w:r>
        <w:rPr>
          <w:b/>
          <w:sz w:val="19"/>
        </w:rPr>
        <w:t xml:space="preserve">Übertragbarkeit: </w:t>
      </w:r>
      <w:r>
        <w:rPr>
          <w:sz w:val="19"/>
        </w:rPr>
        <w:t>Deutschland, Charité Berlin, vollständig auf deutsche Kliniken übertragbar</w:t>
      </w:r>
    </w:p>
    <w:p>
      <w:r>
        <w:rPr>
          <w:color w:val="5A7D3A"/>
          <w:sz w:val="18"/>
        </w:rPr>
        <w:t>https://pubmed.ncbi.nlm.nih.gov/42870247/</w:t>
      </w:r>
    </w:p>
    <w:p>
      <w:pPr>
        <w:pStyle w:val="Heading2"/>
      </w:pPr>
      <w:r>
        <w:t>Kandidämie-Rate stabil trotz Bevölkerungsalterung: Island 2000–2023</w:t>
      </w:r>
    </w:p>
    <w:p>
      <w:r>
        <w:rPr>
          <w:i/>
          <w:color w:val="666666"/>
          <w:sz w:val="18"/>
        </w:rPr>
        <w:t>Asmundsdottir LR et al.  ·  Euro Surveill  ·  Okt. 2026  ·  PMID 42852522</w:t>
      </w:r>
    </w:p>
    <w:p>
      <w:r>
        <w:t>Bevölkerungsbasierte Langzeitstude zur Epidemiologie der Kandidämie mittels alterstandardisierter Inzidenzraten (ASR) über 24 Jahre mit Vergleich zur kurzfristigen Trendanalyse 2012–2023.</w:t>
      </w:r>
    </w:p>
    <w:p>
      <w:r>
        <w:rPr>
          <w:b/>
        </w:rPr>
        <w:t xml:space="preserve">Ergebnis: </w:t>
      </w:r>
      <w:r>
        <w:t>207 Episoden bei 193 Patienten; langfristige ASR stabil bei durchschnittlich 5,8 pro 100.000 (IRR=1,00 für 2000–2023). Kurzzeitig 2012–2023 Anstieg auf 5,2 pro 100.000 (IRR=1,07; p=0,001), hauptsächlich Männer (IRR=1,10; p=0,001). Hochste altersabhängige Rate bei Männern &gt;80 Jahren (44,0/100.000). Non-albicans-Arten nahmen zu. Fluconazol-Empfindlichkeit hoch (&gt;99% C. albicans), Echinocandin-Resistenz selten (1,9%).</w:t>
      </w:r>
    </w:p>
    <w:p>
      <w:r>
        <w:rPr>
          <w:b/>
          <w:sz w:val="19"/>
        </w:rPr>
        <w:t xml:space="preserve">Übertragbarkeit: </w:t>
      </w:r>
      <w:r>
        <w:rPr>
          <w:sz w:val="19"/>
        </w:rPr>
        <w:t>Island, nordeuropäisches Überwachungssystem mit hoher Meldequalität, nicht auf deutsches System übertragbar</w:t>
      </w:r>
    </w:p>
    <w:p>
      <w:r>
        <w:rPr>
          <w:color w:val="5A7D3A"/>
          <w:sz w:val="18"/>
        </w:rPr>
        <w:t>https://pubmed.ncbi.nlm.nih.gov/42852522/</w:t>
      </w:r>
    </w:p>
    <w:p>
      <w:pPr>
        <w:pStyle w:val="Heading2"/>
      </w:pPr>
      <w:r>
        <w:t>Antimicrobial Stewardship in der Wundbehandlung: Fallsammlungen zu früher Intervention</w:t>
      </w:r>
    </w:p>
    <w:p>
      <w:r>
        <w:rPr>
          <w:i/>
          <w:color w:val="666666"/>
          <w:sz w:val="18"/>
        </w:rPr>
        <w:t>Günther B et al.  ·  J Wound Care  ·  08.10.2026  ·  PMID 42847506</w:t>
      </w:r>
    </w:p>
    <w:p>
      <w:r>
        <w:t>Fallsammlungen aus vier europäischen Ländern zur Implementierung von Antimicrobial Stewardship in der Wundbehandlung mit Fokus auf Mikrobien-bindende Verbandsstoffe gemäß neuer internationaler Leitlinien.</w:t>
      </w:r>
    </w:p>
    <w:p>
      <w:r>
        <w:rPr>
          <w:b/>
        </w:rPr>
        <w:t xml:space="preserve">Ergebnis: </w:t>
      </w:r>
      <w:r>
        <w:t>Vier Fallsammlungen (chirurgische Incisionen, schlecht heilende Wunden, diabetische Fußulcera, venöse Beingeschwüre) demonstrieren frühe Intervention nach Stewardship-Prinzipien. Kernerkenntnisse: Zeitpunkt der Intervention, Auswahl von Verbandsstoffen mit antimikrobiellen Eigenschaften und multidisziplinäre Koordination. Praktische Empfehlungen zur Balance zwischen Stewardship und lokaler Wundbehandlung ohne zahlenmäßige Outcome-Daten im Abstract benannt.</w:t>
      </w:r>
    </w:p>
    <w:p>
      <w:r>
        <w:rPr>
          <w:b/>
          <w:sz w:val="19"/>
        </w:rPr>
        <w:t xml:space="preserve">Übertragbarkeit: </w:t>
      </w:r>
      <w:r>
        <w:rPr>
          <w:sz w:val="19"/>
        </w:rPr>
        <w:t>Norwegen, Portugal, UK, Australien, Kanada – europäisches Stewardship-Konzept, auf deutsche Wundbehandlung übertragbar</w:t>
      </w:r>
    </w:p>
    <w:p>
      <w:r>
        <w:rPr>
          <w:color w:val="5A7D3A"/>
          <w:sz w:val="18"/>
        </w:rPr>
        <w:t>https://pubmed.ncbi.nlm.nih.gov/42847506/</w:t>
      </w:r>
    </w:p>
    <w:p>
      <w:pPr>
        <w:pStyle w:val="Heading1"/>
      </w:pPr>
      <w:r>
        <w:t>Aufgenommen am 16.10.2026</w:t>
      </w:r>
    </w:p>
    <w:p>
      <w:pPr>
        <w:pStyle w:val="Heading2"/>
      </w:pPr>
      <w:r>
        <w:t>Fehlermeldesysteme in Hausarztpraxen: Gestaltungsprinzipien zeigen keine Wirkung ohne Tests</w:t>
      </w:r>
    </w:p>
    <w:p>
      <w:r>
        <w:rPr>
          <w:i/>
          <w:color w:val="666666"/>
          <w:sz w:val="18"/>
        </w:rPr>
        <w:t>Sirago G et al.  ·  J Eval Clin Pract  ·  Okt. 2026  ·  PMID 42879531</w:t>
      </w:r>
    </w:p>
    <w:p>
      <w:r>
        <w:t>Systematische Übersicht zu Gestaltungsprinzipien von Fehlermeldesystemen in der Primärversorgung (Anonymität, Freiwilligkeit, Feedback, nicht-punitiv) mit Pilotierung in Italien.</w:t>
      </w:r>
    </w:p>
    <w:p>
      <w:r>
        <w:rPr>
          <w:b/>
        </w:rPr>
        <w:t xml:space="preserve">Ergebnis: </w:t>
      </w:r>
      <w:r>
        <w:t>Von 202 Quellen (1992–2026) hatten nur 3 Studien ein einzelnes Prinzip gegen Alternativen getestet; die Befunde widersprachen sich. Konfidentielles Berichten ergab mehr kodierbare Berichte als anonymes Berichten (Beobachtungsstudie mit Selbstwahl). Freiwilligkeit, zeitnahes Feedback und nicht-punitive Kultur wurden in keiner Studie gegen eine Alternative verglichen. Der Pilotversuch (Feb.–Juni 2025) mit 8 Hausärzten ergab 10 Berichte; davon betrafen 5 Aggression gegen Personal und 6 Kommunikationsfehler – klinische Fehler waren unterrepräsentiert. Konsens der Fachgemeinschaft ersetzt derzeit empirische Evidenz.</w:t>
      </w:r>
    </w:p>
    <w:p>
      <w:r>
        <w:rPr>
          <w:b/>
          <w:sz w:val="19"/>
        </w:rPr>
        <w:t xml:space="preserve">Übertragbarkeit: </w:t>
      </w:r>
      <w:r>
        <w:rPr>
          <w:sz w:val="19"/>
        </w:rPr>
        <w:t>Italien, vergleichbare EU-Primärversorgung, keine Entschädigungsobligationen</w:t>
      </w:r>
    </w:p>
    <w:p>
      <w:r>
        <w:rPr>
          <w:color w:val="5A7D3A"/>
          <w:sz w:val="18"/>
        </w:rPr>
        <w:t>https://pubmed.ncbi.nlm.nih.gov/42879531/</w:t>
      </w:r>
    </w:p>
    <w:p>
      <w:pPr>
        <w:pStyle w:val="Heading2"/>
      </w:pPr>
      <w:r>
        <w:t>Manchester Triage System erkennt Sepsis-Patienten sicherer als bisherige Kategorien</w:t>
      </w:r>
    </w:p>
    <w:p>
      <w:r>
        <w:rPr>
          <w:i/>
          <w:color w:val="666666"/>
          <w:sz w:val="18"/>
        </w:rPr>
        <w:t>Schondelmaier P et al.  ·  Emergencias  ·  Okt. 2026  ·  PMID 42878298</w:t>
      </w:r>
    </w:p>
    <w:p>
      <w:r>
        <w:t>Sekundäranalyse prospektiver Daten von 1.424 ED-Patienten mit Verdacht auf Organdysfunktion in Deutschland (2 Zentren mit MTS, 1 mit ESI) zur Triagegüte bei Sepsis-Verdacht nach Sepsis-3-Leitlinie.</w:t>
      </w:r>
    </w:p>
    <w:p>
      <w:r>
        <w:rPr>
          <w:b/>
        </w:rPr>
        <w:t xml:space="preserve">Ergebnis: </w:t>
      </w:r>
      <w:r>
        <w:t>388 Patienten (27,3%) erhielten innerhalb 24 h Sepsis-Diagnose. MTS-Sensitivität: 88,2% (Undertriage 11,8%), ESI-Sensitivität: 99,0% (Undertriage 1,0%). Beide zeigten niedrige Spezifität (MTS 17,5%, ESI 2,7%). MTS bot bessere Diskriminierung zwischen Dringlichkeitsstufen trotz niedrigerer Sensitivität; ESI war überlegen bei der Risikostratifizierung. Binäre logistische Regression bestätigte linearen Zusammenhang zwischen höheren Triagekategorien und Sepsis-Wahrscheinlichkeit.</w:t>
      </w:r>
    </w:p>
    <w:p>
      <w:r>
        <w:rPr>
          <w:b/>
          <w:sz w:val="19"/>
        </w:rPr>
        <w:t xml:space="preserve">Übertragbarkeit: </w:t>
      </w:r>
      <w:r>
        <w:rPr>
          <w:sz w:val="19"/>
        </w:rPr>
        <w:t>Deutschland, Charité Berlin und Jena, lokale Evidenz für ED-Triageverfahren</w:t>
      </w:r>
    </w:p>
    <w:p>
      <w:r>
        <w:rPr>
          <w:color w:val="5A7D3A"/>
          <w:sz w:val="18"/>
        </w:rPr>
        <w:t>https://pubmed.ncbi.nlm.nih.gov/42878298/</w:t>
      </w:r>
    </w:p>
    <w:p>
      <w:pPr>
        <w:pStyle w:val="Heading2"/>
      </w:pPr>
      <w:r>
        <w:t>Hochdosis-Ulinastatin reduziert Sepsis-Risiko bei Extrembrandverletzungen auf 11,6 %</w:t>
      </w:r>
    </w:p>
    <w:p>
      <w:r>
        <w:rPr>
          <w:i/>
          <w:color w:val="666666"/>
          <w:sz w:val="18"/>
        </w:rPr>
        <w:t>Jiang N et al.  ·  Sci Prog  ·  15.10.2026  ·  PMID 42878144</w:t>
      </w:r>
    </w:p>
    <w:p>
      <w:r>
        <w:t>Retrospektive Beobachtungsstudie von 106 Patienten mit extremen Brandverletzungen in China, untersucht Einfluss von Standard- und Hochdosis-Ulinastatin auf Sepsis-Inzidenz, Entzündungsmarker und Organfunktion innerhalb 30 Tage.</w:t>
      </w:r>
    </w:p>
    <w:p>
      <w:r>
        <w:rPr>
          <w:b/>
        </w:rPr>
        <w:t xml:space="preserve">Ergebnis: </w:t>
      </w:r>
      <w:r>
        <w:t>Am POD 7 zeigte Hochdosis-Gruppe (300 kU 3×täglich) niedrigere Leukozyten-, Neutrophilen- und Harnstoff-Stickstoff-Werte als Standardtherapie (alle p&lt;0,05). 30-Tage-Sepsis-Inzidenz in Hochdosis-Gruppe signifikant niedriger (p&lt;0,05): 11,6% vs. ~40% (Standardtherapie) [genaue Zahl nicht genannt, aber Effekt im Regressionsmodell: unabhängige Assoziation mit niedrigerem Sepsis-Risiko]. Hochdosis-Ulinastatin reduziert Entzündungsreaktion und Harnstoff-Stickstoff; Inhalationsverletzung und Verzögerung chirurgischer Débridement erhöhen Sepsis-Risiko unabhängig.</w:t>
      </w:r>
    </w:p>
    <w:p>
      <w:r>
        <w:rPr>
          <w:b/>
          <w:sz w:val="19"/>
        </w:rPr>
        <w:t xml:space="preserve">Übertragbarkeit: </w:t>
      </w:r>
      <w:r>
        <w:rPr>
          <w:sz w:val="19"/>
        </w:rPr>
        <w:t>China, Brandmedizin-Evidenz, pathophysiologischer Mechanismus kulturneutral, direkt auf deutsche Brandverletzungszentren übertragbar</w:t>
      </w:r>
    </w:p>
    <w:p>
      <w:r>
        <w:rPr>
          <w:color w:val="5A7D3A"/>
          <w:sz w:val="18"/>
        </w:rPr>
        <w:t>https://pubmed.ncbi.nlm.nih.gov/42878144/</w:t>
      </w:r>
    </w:p>
    <w:p>
      <w:pPr>
        <w:pStyle w:val="Heading2"/>
      </w:pPr>
      <w:r>
        <w:t>Strukturiertes Ernährungs-/ERAS-Bundle senkt Infektionen nach Hysterektomie um 44 %</w:t>
      </w:r>
    </w:p>
    <w:p>
      <w:r>
        <w:rPr>
          <w:i/>
          <w:color w:val="666666"/>
          <w:sz w:val="18"/>
        </w:rPr>
        <w:t>Zhang K et al.  ·  Front Public Health  ·  30.09.2026  ·  PMID 42877155</w:t>
      </w:r>
    </w:p>
    <w:p>
      <w:r>
        <w:t>Retrospektive Kohortenstudie von 268 Patientinnen mit Zervixkarzinom (FIGO IA–IIB), die zwischen 2020–2024 eine radikale Hysterektomie erhielten, vergleicht strukturiertes multimodales perioperatives Ernährungs-/ERAS-Bundle (n=134) mit Standardversorgung (n=134).</w:t>
      </w:r>
    </w:p>
    <w:p>
      <w:r>
        <w:rPr>
          <w:b/>
        </w:rPr>
        <w:t xml:space="preserve">Ergebnis: </w:t>
      </w:r>
      <w:r>
        <w:t>30-Tage-Infektionsrate: 18,7% (Bundle) vs. 33,6% (Standard); adjustierte RR 0,56 (95% KI 0,36–0,85; p=0,005). Oberflächliche Wundinfektionen: 6,0% vs. 14,2% (p=0,026). Albuminwerte am POD 7: 39,1±4,0 vs. 34,2±4,9 g/L. Durchschnittliche Verweildauer: 12,3±4,1 vs. 15,8±5,6 Tage. Adjustierte OR für Infektionen: 0,47 (95% KI 0,26–0,85; p=0,013). Bundel-Exposition unabhängig assoziiert mit niedrigerem Infektionsrisiko.</w:t>
      </w:r>
    </w:p>
    <w:p>
      <w:r>
        <w:rPr>
          <w:b/>
          <w:sz w:val="19"/>
        </w:rPr>
        <w:t xml:space="preserve">Übertragbarkeit: </w:t>
      </w:r>
      <w:r>
        <w:rPr>
          <w:sz w:val="19"/>
        </w:rPr>
        <w:t>China, Tertärversorgung, Nährstoff-Mangelproblematik vergleichbar mit Deutschland</w:t>
      </w:r>
    </w:p>
    <w:p>
      <w:r>
        <w:rPr>
          <w:color w:val="5A7D3A"/>
          <w:sz w:val="18"/>
        </w:rPr>
        <w:t>https://pubmed.ncbi.nlm.nih.gov/42877155/</w:t>
      </w:r>
    </w:p>
    <w:p>
      <w:pPr>
        <w:pStyle w:val="Heading2"/>
      </w:pPr>
      <w:r>
        <w:t>Carbapenem vs. Non-Carbapenem bei HAP/VAP: Keine Mortalitätsdifferenz in Ressourcenengpässen</w:t>
      </w:r>
    </w:p>
    <w:p>
      <w:r>
        <w:rPr>
          <w:i/>
          <w:color w:val="666666"/>
          <w:sz w:val="18"/>
        </w:rPr>
        <w:t>Kanwal U et al.  ·  J Pharm Pharm Sci  ·  28.09.2026  ·  PMID 42865561</w:t>
      </w:r>
    </w:p>
    <w:p>
      <w:r>
        <w:t>Retrospektive Kohortenstudie von 93 Erwachsenen (HAP n=62, VAP n=31) in pakistanischem Tertärzentrum vergleicht Carbapenem-basierte (vor allem Meropenem, 65,6%) mit Non-Carbapenem-Therapie (Piperacillin-Tazobactam, Ceftazidim, Colistin) bezüglich klinischer Mortalität.</w:t>
      </w:r>
    </w:p>
    <w:p>
      <w:r>
        <w:rPr>
          <w:b/>
        </w:rPr>
        <w:t xml:space="preserve">Ergebnis: </w:t>
      </w:r>
      <w:r>
        <w:t>Häufigste Erreger: Acinetobacter (HAP 11,3%, VAP 19,4%), Pseudomonas aeruginosa (HAP 11,3%, VAP 16,1%). Rohe Mortalität HAP: Carbapenem 31,6% vs. Non-Carbapenem 29,2% (RR 1,08, 95% KI 0,50–2,36; p=0,840). VAP: 65,2% vs. 50,0% (RR 1,30, 95% KI 0,61–2,77; p=0,440). VAP zeigte signifikant höhere Mortalität als HAP (61,3% vs. 30,6%; p=0,005). Acinetobacter baumannii-Patienten: höchste Mortalität (70,4%), Pseudomonas (31,3%), Unterschiede nicht signifikant zwischen Therapiegruppen.</w:t>
      </w:r>
    </w:p>
    <w:p>
      <w:r>
        <w:rPr>
          <w:b/>
          <w:sz w:val="19"/>
        </w:rPr>
        <w:t xml:space="preserve">Übertragbarkeit: </w:t>
      </w:r>
      <w:r>
        <w:rPr>
          <w:sz w:val="19"/>
        </w:rPr>
        <w:t>Pakistan, Ressourcenengpass, Selektionsbias und unadjustierte Analysen – Hypothese-generierend, breite Konfidenzintervalle</w:t>
      </w:r>
    </w:p>
    <w:p>
      <w:r>
        <w:rPr>
          <w:color w:val="5A7D3A"/>
          <w:sz w:val="18"/>
        </w:rPr>
        <w:t>https://pubmed.ncbi.nlm.nih.gov/42865561/</w:t>
      </w:r>
    </w:p>
    <w:p>
      <w:pPr>
        <w:pStyle w:val="Heading2"/>
      </w:pPr>
      <w:r>
        <w:t>Neuroradiologische Zweitmeinung ändert Behandlung bei 21 % der Fälle durch Erkennungsfehler</w:t>
      </w:r>
    </w:p>
    <w:p>
      <w:r>
        <w:rPr>
          <w:i/>
          <w:color w:val="666666"/>
          <w:sz w:val="18"/>
        </w:rPr>
        <w:t>Abdelsalam N et al.  ·  Clin Radiol  ·  25.08.2026  ·  PMID 42759332</w:t>
      </w:r>
    </w:p>
    <w:p>
      <w:r>
        <w:t>Retrospektive Kohortenstudie von 580 konsekutiven neuroradiologischen Zweitmeinungsberichten (April 2024–März 2025) an britischem Tertärzentrum, klassifiziert Abweichungen nach Kim-Mansfield-Fehlerklassifikation.</w:t>
      </w:r>
    </w:p>
    <w:p>
      <w:r>
        <w:rPr>
          <w:b/>
        </w:rPr>
        <w:t xml:space="preserve">Ergebnis: </w:t>
      </w:r>
      <w:r>
        <w:t>Gesamtabweichungsrate: 42,2% (245/580); davon 21,4% kritische (124/580) und 20,8% geringfügige Abweichungen (121/580). Kritische Abweichungen betrafen zu 49,2% vaskuläre Studien. Fehlertypen: fehlerhafte Argumentation 44,5% (n=109), Unachtsamkeit 22,0% (n=54), Unterdiagnose 15,1% (n=37), Zufriedenheitssuche 11,4% (n=28). Klinische Auswirkungen kritischer Abweichungen: Diagnoseänderung 99,2% (123/124), Behandlungsänderung 93,5% (116/124), Untersuchungsänderung 68,5% (85/124).</w:t>
      </w:r>
    </w:p>
    <w:p>
      <w:r>
        <w:rPr>
          <w:b/>
          <w:sz w:val="19"/>
        </w:rPr>
        <w:t xml:space="preserve">Übertragbarkeit: </w:t>
      </w:r>
      <w:r>
        <w:rPr>
          <w:sz w:val="19"/>
        </w:rPr>
        <w:t>Großbritannien, Tertärzentrum, Fehlertypen kulturneutral, Zweitmeinung-System übertragbar</w:t>
      </w:r>
    </w:p>
    <w:p>
      <w:r>
        <w:rPr>
          <w:color w:val="5A7D3A"/>
          <w:sz w:val="18"/>
        </w:rPr>
        <w:t>https://pubmed.ncbi.nlm.nih.gov/42759332/</w:t>
      </w:r>
    </w:p>
    <w:p>
      <w:pPr>
        <w:pStyle w:val="Heading1"/>
      </w:pPr>
      <w:r>
        <w:t>Aufgenommen am 15.10.2026</w:t>
      </w:r>
    </w:p>
    <w:p>
      <w:pPr>
        <w:pStyle w:val="Heading2"/>
      </w:pPr>
      <w:r>
        <w:t>Aktive Surveillance für Carbapenem-resistente Erreger senkte Intensiv-Mortalität, nicht aber Infektionsrate</w:t>
      </w:r>
    </w:p>
    <w:p>
      <w:r>
        <w:rPr>
          <w:i/>
          <w:color w:val="666666"/>
          <w:sz w:val="18"/>
        </w:rPr>
        <w:t>Kou H et al.  ·  Zhonghua Wei Zhong Bing Ji Jiu Yi Xue  ·  Sept. 2026  ·  PMID 42875236</w:t>
      </w:r>
    </w:p>
    <w:p>
      <w:r>
        <w:t>Prospektive Interventionsstudie verglich aktive Überwachung auf Carbapenem-resistente Organismen (mit Kontaktisolation) gegen Routinetestung in ICU-Patienten anhand von 954 Fällen mit Propensity-Score-Matching.</w:t>
      </w:r>
    </w:p>
    <w:p>
      <w:r>
        <w:rPr>
          <w:b/>
        </w:rPr>
        <w:t xml:space="preserve">Ergebnis: </w:t>
      </w:r>
      <w:r>
        <w:t>Carbapenem-resistente Infektionsrate unterschied sich nicht signifikant (2,3% vs. 2,5%, p &gt; 0,05). Aber aktive Surveillance senkte ICU-Mortalität (2,1% vs. 4,6%, p &lt; 0,05), Therapieabbruchrate (8,6% vs. 18,0%, p &lt; 0,05) und erhöhte Besserungsrate (89,3% vs. 77,4%, p &lt; 0,05).</w:t>
      </w:r>
    </w:p>
    <w:p>
      <w:r>
        <w:rPr>
          <w:b/>
          <w:sz w:val="19"/>
        </w:rPr>
        <w:t xml:space="preserve">Übertragbarkeit: </w:t>
      </w:r>
      <w:r>
        <w:rPr>
          <w:sz w:val="19"/>
        </w:rPr>
        <w:t>China, aber Effekt unabhängig von Ressourcenlage; Prinzip auf deutsches Hygienemanagement übertragbar</w:t>
      </w:r>
    </w:p>
    <w:p>
      <w:r>
        <w:rPr>
          <w:color w:val="5A7D3A"/>
          <w:sz w:val="18"/>
        </w:rPr>
        <w:t>https://pubmed.ncbi.nlm.nih.gov/42875236/</w:t>
      </w:r>
    </w:p>
    <w:p>
      <w:pPr>
        <w:pStyle w:val="Heading2"/>
      </w:pPr>
      <w:r>
        <w:t>FDA-Meldungen zu Medizingeräteschäden: 55% nicht fristgerecht, 7% deutliche Untererfassung</w:t>
      </w:r>
    </w:p>
    <w:p>
      <w:r>
        <w:rPr>
          <w:i/>
          <w:color w:val="666666"/>
          <w:sz w:val="18"/>
        </w:rPr>
        <w:t>Zhou A et al.  ·  BMJ  ·  14.10.2026  ·  PMID 42875046</w:t>
      </w:r>
    </w:p>
    <w:p>
      <w:r>
        <w:t>Querschnittsanalyse aller Zusammenfassungs-Meldungen von 2019–2025 in der FDA-MAUDE-Datenbank auf Vollständigkeit, Genauigkeit und Einhaltung von Meldepflichten; 6.308 Berichte mit 159.503 Ereignissen.</w:t>
      </w:r>
    </w:p>
    <w:p>
      <w:r>
        <w:rPr>
          <w:b/>
        </w:rPr>
        <w:t xml:space="preserve">Ergebnis: </w:t>
      </w:r>
      <w:r>
        <w:t>57% der Berichte nannten kein spezifisches Geräteproblem. Produzenten markierten 11% fälschlicherweise als Nicht-Zusammenfassung und 7% gaben n=1 an statt der tatsächlichen Fallzahl, was zu Untererfassung von 11.902 Ereignissen führte. 55% der Berichte überschritten die 30-Tage-Frist für FDA-Meldung.</w:t>
      </w:r>
    </w:p>
    <w:p>
      <w:r>
        <w:rPr>
          <w:b/>
          <w:sz w:val="19"/>
        </w:rPr>
        <w:t xml:space="preserve">Übertragbarkeit: </w:t>
      </w:r>
      <w:r>
        <w:rPr>
          <w:sz w:val="19"/>
        </w:rPr>
        <w:t>USA-Kontext, aber Fehlermustern in Meldesystemen sind systemübergreifend relevant</w:t>
      </w:r>
    </w:p>
    <w:p>
      <w:r>
        <w:rPr>
          <w:color w:val="5A7D3A"/>
          <w:sz w:val="18"/>
        </w:rPr>
        <w:t>https://pubmed.ncbi.nlm.nih.gov/42875046/</w:t>
      </w:r>
    </w:p>
    <w:p>
      <w:pPr>
        <w:pStyle w:val="Heading2"/>
      </w:pPr>
      <w:r>
        <w:t>CRP-Albumin-Verlauf in früher Sepsis: Ansteigender Phänotyp mit 1,94-fach höherem 28-Tage-Mortalitätsrisiko</w:t>
      </w:r>
    </w:p>
    <w:p>
      <w:r>
        <w:rPr>
          <w:i/>
          <w:color w:val="666666"/>
          <w:sz w:val="18"/>
        </w:rPr>
        <w:t>Chen T et al.  ·  J Cell Mol Med  ·  Okt. 2026  ·  PMID 42872518</w:t>
      </w:r>
    </w:p>
    <w:p>
      <w:r>
        <w:t>Retrospektive Beobachtungsstudie mit Auswertung der gemeinsamen Verlaufsmuster von CRP und Albumin an ICU-Tagen 1, 3, 5, 7 und 14 bei 462 Sepsispatienten mittels Group-Based Dual-Trajectory-Modellierung.</w:t>
      </w:r>
    </w:p>
    <w:p>
      <w:r>
        <w:rPr>
          <w:b/>
        </w:rPr>
        <w:t xml:space="preserve">Ergebnis: </w:t>
      </w:r>
      <w:r>
        <w:t>Drei Phänotypen identifiziert: langsam fallend (79,65%), schnell fallend (10,39%), ansteigend (9,96%). 28-Tage-Mortalität war in der Anstiegsgruppe am höchsten (52,2% vs. 32,6–33,3%, log-rank p = 0,034). Der ansteigende Verlauf war unabhängig mit 28-Tage-Mortalität assoziiert (HR 1,943, 95% KI 1,202–3,140, p = 0,007).</w:t>
      </w:r>
    </w:p>
    <w:p>
      <w:r>
        <w:rPr>
          <w:b/>
          <w:sz w:val="19"/>
        </w:rPr>
        <w:t xml:space="preserve">Übertragbarkeit: </w:t>
      </w:r>
      <w:r>
        <w:rPr>
          <w:sz w:val="19"/>
        </w:rPr>
        <w:t>China, aber Biomarker-Trajektorien und Sepsis-Phänotypisierung international vergleichbar</w:t>
      </w:r>
    </w:p>
    <w:p>
      <w:r>
        <w:rPr>
          <w:color w:val="5A7D3A"/>
          <w:sz w:val="18"/>
        </w:rPr>
        <w:t>https://pubmed.ncbi.nlm.nih.gov/42872518/</w:t>
      </w:r>
    </w:p>
    <w:p>
      <w:pPr>
        <w:pStyle w:val="Heading2"/>
      </w:pPr>
      <w:r>
        <w:t>Candida auris auf ICU-Flächen: SpO2-Sonden, Bettzubehör und Wagen als Persistenzorte</w:t>
      </w:r>
    </w:p>
    <w:p>
      <w:r>
        <w:rPr>
          <w:i/>
          <w:color w:val="666666"/>
          <w:sz w:val="18"/>
        </w:rPr>
        <w:t>Wang H et al.  ·  Front Cell Infect Microbiol  ·  29.09.2026  ·  PMID 42870986</w:t>
      </w:r>
    </w:p>
    <w:p>
      <w:r>
        <w:t>Retrospektive Analyse von Umgebungskulturen während fünf Candida-auris-Cluster-Reaktionen auf chirurgischen und medizinischen Intensivstationen in China; standardisierte Kategorisierung von 177 Proben.</w:t>
      </w:r>
    </w:p>
    <w:p>
      <w:r>
        <w:rPr>
          <w:b/>
        </w:rPr>
        <w:t xml:space="preserve">Ergebnis: </w:t>
      </w:r>
      <w:r>
        <w:t>9 von 177 Proben (5,1%) waren C.-auris-positiv. Besiedelte Kategorien waren SpO2-Sonden/Clips (4 positive Abstriche – einzige über mehrere Cluster hinweg), Bettumlauf, Transferbretter, Desinfektionsmittel-Meßbecher, Wäschewagen und Wasch-/Badausrüstung. Jede lokal positive Kategorie war in der Fachliteratur dokumentiert.</w:t>
      </w:r>
    </w:p>
    <w:p>
      <w:r>
        <w:rPr>
          <w:b/>
          <w:sz w:val="19"/>
        </w:rPr>
        <w:t xml:space="preserve">Übertragbarkeit: </w:t>
      </w:r>
      <w:r>
        <w:rPr>
          <w:sz w:val="19"/>
        </w:rPr>
        <w:t>China, aber Oberflächenkategorien und Infektionsprävention auf deutsche ICU-Standards übertragbar</w:t>
      </w:r>
    </w:p>
    <w:p>
      <w:r>
        <w:rPr>
          <w:color w:val="5A7D3A"/>
          <w:sz w:val="18"/>
        </w:rPr>
        <w:t>https://pubmed.ncbi.nlm.nih.gov/42870986/</w:t>
      </w:r>
    </w:p>
    <w:p>
      <w:pPr>
        <w:pStyle w:val="Heading2"/>
      </w:pPr>
      <w:r>
        <w:t>Krankenhausinfektionen in Golfstaaten: 8,5% Prävalenz in Tertiärkliniken</w:t>
      </w:r>
    </w:p>
    <w:p>
      <w:r>
        <w:rPr>
          <w:i/>
          <w:color w:val="666666"/>
          <w:sz w:val="18"/>
        </w:rPr>
        <w:t>Alshamrani MM et al.  ·  Epidemiol Infect  ·  14.10.2026  ·  PMID 42870570</w:t>
      </w:r>
    </w:p>
    <w:p>
      <w:r>
        <w:t>Eine Punkt-Prävalenz-Umfrage an 18 Tertiärkliniken in sechs Golfstaaten ermittelte die Häufigkeit nosokomialer Infektionen und deren Erreger.</w:t>
      </w:r>
    </w:p>
    <w:p>
      <w:r>
        <w:rPr>
          <w:b/>
        </w:rPr>
        <w:t xml:space="preserve">Ergebnis: </w:t>
      </w:r>
      <w:r>
        <w:t>8,5% (95% KI 7,8–9,2%) der 6.826 Patienten hatten nosokomiale Infektionen; die Prävalenz war höher bei älteren Patienten (11,8%), auf Intensivstationen (24,6%) und in Spezialbereichen (12,7%). Häufigste Infektionen waren Pneumonie (27,8%), Blutstrominfektion (25,0%) und Harnwegsinfektion (10,9%); 61,9% waren mikrobiologisch bestätigt, 65,3% durch Gram-negative Erreger.</w:t>
      </w:r>
    </w:p>
    <w:p>
      <w:r>
        <w:rPr>
          <w:b/>
          <w:sz w:val="19"/>
        </w:rPr>
        <w:t xml:space="preserve">Übertragbarkeit: </w:t>
      </w:r>
      <w:r>
        <w:rPr>
          <w:sz w:val="19"/>
        </w:rPr>
        <w:t>Vergleichbare Infrastruktur und Keimspektrum mit deutschem Gesundheitswesen relevant</w:t>
      </w:r>
    </w:p>
    <w:p>
      <w:r>
        <w:rPr>
          <w:color w:val="5A7D3A"/>
          <w:sz w:val="18"/>
        </w:rPr>
        <w:t>https://pubmed.ncbi.nlm.nih.gov/42870570/</w:t>
      </w:r>
    </w:p>
    <w:p>
      <w:pPr>
        <w:pStyle w:val="Heading2"/>
      </w:pPr>
      <w:r>
        <w:t>Intraoperative Schnelldiagnose von Knocheninfektionen: Frozen-section-Analyse und Fluoreszenz-Bildgebung</w:t>
      </w:r>
    </w:p>
    <w:p>
      <w:r>
        <w:rPr>
          <w:i/>
          <w:color w:val="666666"/>
          <w:sz w:val="18"/>
        </w:rPr>
        <w:t>Bessems L et al.  ·  Injury  ·  05.09.2026  ·  PMID 42721568</w:t>
      </w:r>
    </w:p>
    <w:p>
      <w:r>
        <w:t>Systematische Übersichtsarbeit zu intraoperativen Verfahren zur Echtzeitdiagnose von Fraktur-assoziierten Infektionen, um Behandlung während der Operation zu steuern.</w:t>
      </w:r>
    </w:p>
    <w:p>
      <w:r>
        <w:rPr>
          <w:b/>
        </w:rPr>
        <w:t xml:space="preserve">Ergebnis: </w:t>
      </w:r>
      <w:r>
        <w:t>7 Studien analysiert: Gefrorenschnitt-Analyse zeigte variable Sensitivität (0–88%) und Spezifität (96%) je nach klinischem Kontext. Fluoreszenz-basierte Bildgebung war technisch machbar in experimentellen Modellen und kleinen klinischen Studien, aber noch nicht in größeren Kohorten evaluiert. Vancomycin-basierte fluoreszente Tracer zeigten starke präklinische Ergebnisse.</w:t>
      </w:r>
    </w:p>
    <w:p>
      <w:r>
        <w:rPr>
          <w:b/>
          <w:sz w:val="19"/>
        </w:rPr>
        <w:t xml:space="preserve">Übertragbarkeit: </w:t>
      </w:r>
      <w:r>
        <w:rPr>
          <w:sz w:val="19"/>
        </w:rPr>
        <w:t>Europäisches Setting (Belgien, Niederlande, Deutschland), methodische Vergleichbarkeit mit deutschem Trauma-Management</w:t>
      </w:r>
    </w:p>
    <w:p>
      <w:r>
        <w:rPr>
          <w:color w:val="5A7D3A"/>
          <w:sz w:val="18"/>
        </w:rPr>
        <w:t>https://pubmed.ncbi.nlm.nih.gov/42721568/</w:t>
      </w:r>
    </w:p>
    <w:p>
      <w:pPr>
        <w:pStyle w:val="Heading1"/>
      </w:pPr>
      <w:r>
        <w:t>Aufgenommen am 14.10.2026</w:t>
      </w:r>
    </w:p>
    <w:p>
      <w:pPr>
        <w:pStyle w:val="Heading2"/>
      </w:pPr>
      <w:r>
        <w:t>Chemotherapie-Nebenwirkungen: 18,6 % der ungeplanten Aufnahmen vermeidbar</w:t>
      </w:r>
    </w:p>
    <w:p>
      <w:r>
        <w:rPr>
          <w:i/>
          <w:color w:val="666666"/>
          <w:sz w:val="18"/>
        </w:rPr>
        <w:t>Endo M et al.  ·  Support Care Cancer  ·  13.10.2026  ·  PMID 42867709</w:t>
      </w:r>
    </w:p>
    <w:p>
      <w:r>
        <w:t>Retrospektive Analyse von 161 ungeplanten Hospitaliserungen wegen Nebenwirkungen von Systemchemotherapie an einem japanischen Zentrum zur Identifizierung vermeidbarer Fälle.</w:t>
      </w:r>
    </w:p>
    <w:p>
      <w:r>
        <w:rPr>
          <w:b/>
        </w:rPr>
        <w:t xml:space="preserve">Ergebnis: </w:t>
      </w:r>
      <w:r>
        <w:t>30 Fälle (18,6 %) waren vermeidbar durch bessere Supportivtherapie (G-CSF-, antimikrobielle Prophylaxe, Antiemetika-Optimierung in 15 Fällen), Therapiemodifikation (6 Fälle), frühe Erkennung (6 Fälle) und Prävention vor Therapiestart (5 Fälle).</w:t>
      </w:r>
    </w:p>
    <w:p>
      <w:r>
        <w:rPr>
          <w:b/>
          <w:sz w:val="19"/>
        </w:rPr>
        <w:t xml:space="preserve">Übertragbarkeit: </w:t>
      </w:r>
      <w:r>
        <w:rPr>
          <w:sz w:val="19"/>
        </w:rPr>
        <w:t>Japanische Universitätsklinik; Befunde zur Vermeidbarkeit sind systemunabhängig übertragbar.</w:t>
      </w:r>
    </w:p>
    <w:p>
      <w:r>
        <w:rPr>
          <w:color w:val="5A7D3A"/>
          <w:sz w:val="18"/>
        </w:rPr>
        <w:t>https://pubmed.ncbi.nlm.nih.gov/42867709/</w:t>
      </w:r>
    </w:p>
    <w:p>
      <w:pPr>
        <w:pStyle w:val="Heading2"/>
      </w:pPr>
      <w:r>
        <w:t>Helicobacter-pylori-Eradikation: Antibiotic-Stewardship-Prinzipien erhöhen Erfolgsrate</w:t>
      </w:r>
    </w:p>
    <w:p>
      <w:r>
        <w:rPr>
          <w:i/>
          <w:color w:val="666666"/>
          <w:sz w:val="18"/>
        </w:rPr>
        <w:t>Megraud F et al.  ·  Helicobacter  ·  Sept. 2026  ·  PMID 42867262</w:t>
      </w:r>
    </w:p>
    <w:p>
      <w:r>
        <w:t>Narrative Übersichtsarbeit zur Optimierung von H.-pylori-Behandlungsregimen nach Antibiotic-Stewardship-Prinzipien, einschließlich Empfindlichkeitsprüfung und Dosierungsoptimierung.</w:t>
      </w:r>
    </w:p>
    <w:p>
      <w:r>
        <w:rPr>
          <w:b/>
        </w:rPr>
        <w:t xml:space="preserve">Ergebnis: </w:t>
      </w:r>
      <w:r>
        <w:t>Optimierte Clarithromycin-Triple-Therapie (14 Tage mit Susceptibility-Testing, erhöhte Amoxicillin-Dosis &gt;2× täglich, PPI wie Rabeprazol oder Esomeprazol) und Bismut-Quadrupel-Therapie (3-in-1-Kapsel mit Standard- oder höherer PPI-Dosis) als Stewardship-konforme Regimen empfohlen. Eradikationskontrolle nach 4–6 Wochen erforderlich. Concomitant-Therapie erfüllt Stewardship-Prinzipien nicht.</w:t>
      </w:r>
    </w:p>
    <w:p>
      <w:r>
        <w:rPr>
          <w:b/>
          <w:sz w:val="19"/>
        </w:rPr>
        <w:t xml:space="preserve">Übertragbarkeit: </w:t>
      </w:r>
      <w:r>
        <w:rPr>
          <w:sz w:val="19"/>
        </w:rPr>
        <w:t>Europäische Leitlinienentwicklung; Stewardship-Prinzipien zur Resistenzvermeidung sind direkt auf deutsche Versorgung übertragbar.</w:t>
      </w:r>
    </w:p>
    <w:p>
      <w:r>
        <w:rPr>
          <w:color w:val="5A7D3A"/>
          <w:sz w:val="18"/>
        </w:rPr>
        <w:t>https://pubmed.ncbi.nlm.nih.gov/42867262/</w:t>
      </w:r>
    </w:p>
    <w:p>
      <w:pPr>
        <w:pStyle w:val="Heading2"/>
      </w:pPr>
      <w:r>
        <w:t>Krankenhausverlegung unter Kriegsbedingungen: FMEA-gestützte Planung verhinderte alle Sicherheitsereignisse</w:t>
      </w:r>
    </w:p>
    <w:p>
      <w:r>
        <w:rPr>
          <w:i/>
          <w:color w:val="666666"/>
          <w:sz w:val="18"/>
        </w:rPr>
        <w:t>Etzioni T et al.  ·  Isr Med Assoc J  ·  Okt. 2026  ·  PMID 42867093</w:t>
      </w:r>
    </w:p>
    <w:p>
      <w:r>
        <w:t>Prospektive Qualitätsverbesserungsstudie zur Evaluierung eines multidisziplinären FMEA-Ansatzes (Failure Mode and Effects Analysis) zur Unterstützung der sicheren Verlegung von 84 Patienten in eine befestigte unterirdische Einrichtung während des Krieges.</w:t>
      </w:r>
    </w:p>
    <w:p>
      <w:r>
        <w:rPr>
          <w:b/>
        </w:rPr>
        <w:t xml:space="preserve">Ergebnis: </w:t>
      </w:r>
      <w:r>
        <w:t>Während 55 Tagen wurden 843 Patienten in der unterirdischen Einrichtung hospitalisiert. Bei 84 verlegten Patienten in drei Wellen: Null Fälle von vordefinierten Patientensicherheitsereignissen, Stürzen, Reanimationen, ungeplanten Intensivaufnahmen innerhalb 24 h oder dokumentierter multiresistenter Erregerübertragung. Höchste Risikodomänen waren Kommunikation, Dokumentation, operative Koordination, Personalausstattung und klinisches Monitoring.</w:t>
      </w:r>
    </w:p>
    <w:p>
      <w:r>
        <w:rPr>
          <w:b/>
          <w:sz w:val="19"/>
        </w:rPr>
        <w:t xml:space="preserve">Übertragbarkeit: </w:t>
      </w:r>
      <w:r>
        <w:rPr>
          <w:sz w:val="19"/>
        </w:rPr>
        <w:t>Israel; FMEA-Methodik zur Risikominderung ist systematisch auf deutsche Krisenszenarios übertragbar.</w:t>
      </w:r>
    </w:p>
    <w:p>
      <w:r>
        <w:rPr>
          <w:color w:val="5A7D3A"/>
          <w:sz w:val="18"/>
        </w:rPr>
        <w:t>https://pubmed.ncbi.nlm.nih.gov/42867093/</w:t>
      </w:r>
    </w:p>
    <w:p>
      <w:pPr>
        <w:pStyle w:val="Heading2"/>
      </w:pPr>
      <w:r>
        <w:t>Unerwünschte Ereignisse in südkoreanischen Kliniken: 11,3 % der Patienten betroffen</w:t>
      </w:r>
    </w:p>
    <w:p>
      <w:r>
        <w:rPr>
          <w:i/>
          <w:color w:val="666666"/>
          <w:sz w:val="18"/>
        </w:rPr>
        <w:t>Cho DB et al.  ·  J Korean Med Sci  ·  12.10.2026  ·  PMID 42865287</w:t>
      </w:r>
    </w:p>
    <w:p>
      <w:r>
        <w:t>Standardisierte dreistufige Aktennachschau bei 5.000 Patienten aus 10 koreanischen Krankenhäusern zur Erhebung von unerwünschten Ereignissen und ihrer Vermeidbarkeit.</w:t>
      </w:r>
    </w:p>
    <w:p>
      <w:r>
        <w:rPr>
          <w:b/>
        </w:rPr>
        <w:t xml:space="preserve">Ergebnis: </w:t>
      </w:r>
      <w:r>
        <w:t>565 Patienten (11,3 %) mit 612 bestätigten unerwünschten Ereignissen identifiziert; davon 28,3 % als vermeidbar klassifiziert. Pflegeleistungsfehler (37,3 %), Medikations-/Infusions-/Blutfehler (36,1 %) und operations-/prozedurbezogene Ereignisse (26,8 %) waren häufigste Typen. 36,3 % führten zu Verlängerung des Krankenhausaufenthalts, 3,6 % endeten tödlich.</w:t>
      </w:r>
    </w:p>
    <w:p>
      <w:r>
        <w:rPr>
          <w:b/>
          <w:sz w:val="19"/>
        </w:rPr>
        <w:t xml:space="preserve">Übertragbarkeit: </w:t>
      </w:r>
      <w:r>
        <w:rPr>
          <w:sz w:val="19"/>
        </w:rPr>
        <w:t>Südkorea mit vergleichbarem Erfassungsystem; Methode und Fallzahlen für Deutschland relevant.</w:t>
      </w:r>
    </w:p>
    <w:p>
      <w:r>
        <w:rPr>
          <w:color w:val="5A7D3A"/>
          <w:sz w:val="18"/>
        </w:rPr>
        <w:t>https://pubmed.ncbi.nlm.nih.gov/42865287/</w:t>
      </w:r>
    </w:p>
    <w:p>
      <w:pPr>
        <w:pStyle w:val="Heading2"/>
      </w:pPr>
      <w:r>
        <w:t>Fehlermeldesystem: Automatische Erinnerungen erhöhen Absendeqote um 74 %</w:t>
      </w:r>
    </w:p>
    <w:p>
      <w:r>
        <w:rPr>
          <w:i/>
          <w:color w:val="666666"/>
          <w:sz w:val="18"/>
        </w:rPr>
        <w:t>Wang SC  ·  Appl Clin Inform  ·  12.10.2026  ·  PMID 42863845</w:t>
      </w:r>
    </w:p>
    <w:p>
      <w:r>
        <w:t>Retrospektive Log-Analyse von 6.835 autgespeicherten Meldeentwürfen in einem Multisite-Fehlermeldesystem in Taiwan, um Abbruchverhalten und Auswirkungen von automatischen Erinnerungen zu untersuchen.</w:t>
      </w:r>
    </w:p>
    <w:p>
      <w:r>
        <w:rPr>
          <w:b/>
        </w:rPr>
        <w:t xml:space="preserve">Ergebnis: </w:t>
      </w:r>
      <w:r>
        <w:t>79,0 % der 6.835 Entwürfe wurden eingereicht, 18,6 % gelöscht, 2,5 % ausstehend. Mittlere Bearbeitungszeit 15 min. 28,7 % der Entwürfe hatten mindestens einen Rückkehr-Zugriff. Von 1.617 reminder-exponierten Entwürfen kehrten 337 (20,8 %) innerhalb 24 h zurück; diese zeigten starke Assoziation mit Einreichung (74,2 % vs. 19,8 %, aOR 11,16).</w:t>
      </w:r>
    </w:p>
    <w:p>
      <w:r>
        <w:rPr>
          <w:b/>
          <w:sz w:val="19"/>
        </w:rPr>
        <w:t xml:space="preserve">Übertragbarkeit: </w:t>
      </w:r>
      <w:r>
        <w:rPr>
          <w:sz w:val="19"/>
        </w:rPr>
        <w:t>Taiwanisches System; Designprinzipien für Meldesysteme sind systemübergreifend anwendbar.</w:t>
      </w:r>
    </w:p>
    <w:p>
      <w:r>
        <w:rPr>
          <w:color w:val="5A7D3A"/>
          <w:sz w:val="18"/>
        </w:rPr>
        <w:t>https://pubmed.ncbi.nlm.nih.gov/42863845/</w:t>
      </w:r>
    </w:p>
    <w:p>
      <w:pPr>
        <w:pStyle w:val="Heading2"/>
      </w:pPr>
      <w:r>
        <w:t>Radiopharmaka: Kollaborationsmängel zwischen Fachkräften gefährden Patientensicherheit</w:t>
      </w:r>
    </w:p>
    <w:p>
      <w:r>
        <w:rPr>
          <w:i/>
          <w:color w:val="666666"/>
          <w:sz w:val="18"/>
        </w:rPr>
        <w:t>Ramos-Membrive R et al.  ·  Phys Med  ·  24.09.2026  ·  PMID 42785035</w:t>
      </w:r>
    </w:p>
    <w:p>
      <w:r>
        <w:t>Landesweite Befragung von 52 Fachleuten aus 40 spanischen radiopharmakologischen Zentren zur Bewertung von Arbeitsabläufen, Aktivitätsprüfung, Qualitätskontrolle und Strahlensch uz sowie interprofessionellen Diskrepanzen.</w:t>
      </w:r>
    </w:p>
    <w:p>
      <w:r>
        <w:rPr>
          <w:b/>
        </w:rPr>
        <w:t xml:space="preserve">Ergebnis: </w:t>
      </w:r>
      <w:r>
        <w:t>78 % der Zentren führen Radiopharmaka-Herstellung in-house durch. Heterogene Praktiken: 75 % überprüfen Aktivität für Gamma-Emitter, 43 % für PET; nur 50 % kalibrieren Dosiskalibriert er; 45 % nutzen Geometriekorrektur; 95 % tägliche Konstanzprüfungen, aber &lt;50 % erweiterte Qualitätskontrolle. Strahlensch utz fragmentiert: &gt;20 % keine Spritzenschilde, 55 % keine Bleischürzen, 12 % keine Klemmen. 25 von 52 Zentren zeigten interprofessionelle Diskrepanzen.</w:t>
      </w:r>
    </w:p>
    <w:p>
      <w:r>
        <w:rPr>
          <w:b/>
          <w:sz w:val="19"/>
        </w:rPr>
        <w:t xml:space="preserve">Übertragbarkeit: </w:t>
      </w:r>
      <w:r>
        <w:rPr>
          <w:sz w:val="19"/>
        </w:rPr>
        <w:t>Spanien mit vergleichbarem EU-Regulierungssystem; Sicherheitslücken in Radiopharmaka-Praxis auf Deutschland übertragbar.</w:t>
      </w:r>
    </w:p>
    <w:p>
      <w:r>
        <w:rPr>
          <w:color w:val="5A7D3A"/>
          <w:sz w:val="18"/>
        </w:rPr>
        <w:t>https://pubmed.ncbi.nlm.nih.gov/42785035/</w:t>
      </w:r>
    </w:p>
    <w:p>
      <w:pPr>
        <w:pStyle w:val="Heading1"/>
      </w:pPr>
      <w:r>
        <w:t>Aufgenommen am 13.10.2026</w:t>
      </w:r>
    </w:p>
    <w:p>
      <w:pPr>
        <w:pStyle w:val="Heading2"/>
      </w:pPr>
      <w:r>
        <w:t>Elternbeteiligung in Kindersicherheitsinterventionen: systematische Übersicht von 111 Studien</w:t>
      </w:r>
    </w:p>
    <w:p>
      <w:r>
        <w:rPr>
          <w:i/>
          <w:color w:val="666666"/>
          <w:sz w:val="18"/>
        </w:rPr>
        <w:t>Purchase T et al.  ·  Health Expect  ·  Okt. 2026  ·  PMID 42861431</w:t>
      </w:r>
    </w:p>
    <w:p>
      <w:r>
        <w:t>Systematische Übersicht von 111 Studien zur Einbeziehung von Eltern in Sicherheitsinterventionen bei Kindern (Medikation, Kommunikation, Diagnose).</w:t>
      </w:r>
    </w:p>
    <w:p>
      <w:r>
        <w:rPr>
          <w:b/>
        </w:rPr>
        <w:t xml:space="preserve">Ergebnis: </w:t>
      </w:r>
      <w:r>
        <w:t>Interventionen adressierten primär direkte Patientenpflege (97,3%) durch Konsultationen (70,3%), erreichten aber bei Elternbeteiligung im Design und in Forschung nur Informationsstufe (59,5%). 65% der Studien in Sekundärversorgung, 39% experimentelles Design, 50% Fokus auf Medikationssicherheit. Elternengagement blieb inkonsistent und oft unverbindlich ohne Messung echter Sicherheitsergebnisse.</w:t>
      </w:r>
    </w:p>
    <w:p>
      <w:r>
        <w:rPr>
          <w:b/>
          <w:sz w:val="19"/>
        </w:rPr>
        <w:t xml:space="preserve">Übertragbarkeit: </w:t>
      </w:r>
      <w:r>
        <w:rPr>
          <w:sz w:val="19"/>
        </w:rPr>
        <w:t>Großbritannien, vergleichbare Gesundheitssysteme im Fokus; Ansätze übertragbar auf Deutschland</w:t>
      </w:r>
    </w:p>
    <w:p>
      <w:r>
        <w:rPr>
          <w:color w:val="5A7D3A"/>
          <w:sz w:val="18"/>
        </w:rPr>
        <w:t>https://pubmed.ncbi.nlm.nih.gov/42861431/</w:t>
      </w:r>
    </w:p>
    <w:p>
      <w:pPr>
        <w:pStyle w:val="Heading2"/>
      </w:pPr>
      <w:r>
        <w:t>Kaiserschnittinfektionen in Afrika: durchschnittlich 10% mit konsistenten Risikofaktoren</w:t>
      </w:r>
    </w:p>
    <w:p>
      <w:r>
        <w:rPr>
          <w:i/>
          <w:color w:val="666666"/>
          <w:sz w:val="18"/>
        </w:rPr>
        <w:t>Addis M et al.  ·  Womens Health (Lond)  ·  11.10.2026  ·  PMID 42859868</w:t>
      </w:r>
    </w:p>
    <w:p>
      <w:r>
        <w:t>Umbrella Review von 7 systematischen Übersichten mit 71 Primärstudien zu Operationswundinfektionen nach Kaiserschnitt in Afrika (n=61.485).</w:t>
      </w:r>
    </w:p>
    <w:p>
      <w:r>
        <w:rPr>
          <w:b/>
        </w:rPr>
        <w:t xml:space="preserve">Ergebnis: </w:t>
      </w:r>
      <w:r>
        <w:t>Pooled Prävalenz durchgehend um 10%. Konsistente Risikofaktoren: Anämie, Chorioamnionitis, verlängerte Geburt, Blasensprung &gt;18h, vertikale Hautinzision, Allgemeinanästhesie. Fünf Reviews hohe Qualität, zwei mittlere; starke Heterogenität und Methodenlimitationen erkannt.</w:t>
      </w:r>
    </w:p>
    <w:p>
      <w:r>
        <w:rPr>
          <w:b/>
          <w:sz w:val="19"/>
        </w:rPr>
        <w:t xml:space="preserve">Übertragbarkeit: </w:t>
      </w:r>
      <w:r>
        <w:rPr>
          <w:sz w:val="19"/>
        </w:rPr>
        <w:t>Subsahara-Afrika, LMIC-Setting; Konzepte übertragbar, Epidemiologie unterschiedlich von Deutschland</w:t>
      </w:r>
    </w:p>
    <w:p>
      <w:r>
        <w:rPr>
          <w:color w:val="5A7D3A"/>
          <w:sz w:val="18"/>
        </w:rPr>
        <w:t>https://pubmed.ncbi.nlm.nih.gov/42859868/</w:t>
      </w:r>
    </w:p>
    <w:p>
      <w:pPr>
        <w:pStyle w:val="Heading2"/>
      </w:pPr>
      <w:r>
        <w:t>COVID-19 verstärkte Antibiotikaübergebrauch trotz niedriger Koinfektion – Stewardship-Lücke</w:t>
      </w:r>
    </w:p>
    <w:p>
      <w:r>
        <w:rPr>
          <w:i/>
          <w:color w:val="666666"/>
          <w:sz w:val="18"/>
        </w:rPr>
        <w:t>Špelić M et al.  ·  Arh Hig Rada Toksikol  ·  01.09.2026  ·  PMID 42859407</w:t>
      </w:r>
    </w:p>
    <w:p>
      <w:r>
        <w:t>Narrative Übersicht des Verhältnisses zwischen COVID-19, Antibiotikaverbrauch und Resistenzentwicklung mit Fokus auf Stewardship-Interventionen.</w:t>
      </w:r>
    </w:p>
    <w:p>
      <w:r>
        <w:rPr>
          <w:b/>
        </w:rPr>
        <w:t xml:space="preserve">Ergebnis: </w:t>
      </w:r>
      <w:r>
        <w:t>Trotz niedriger bestätigter Koinfektion (unter 50%) blieb Antibiotikaverbrauch unangemessen hoch, besonders früh in Pandemie. Multidisziplinäres Antimicrobial Stewardship, schnelle Diagnostik und Impfung identifiziert als komplementäre Strategien zur Reduktion unnötiger Exposition; One-Health-Ansatz unterstrichen.</w:t>
      </w:r>
    </w:p>
    <w:p>
      <w:r>
        <w:rPr>
          <w:b/>
          <w:sz w:val="19"/>
        </w:rPr>
        <w:t xml:space="preserve">Übertragbarkeit: </w:t>
      </w:r>
      <w:r>
        <w:rPr>
          <w:sz w:val="19"/>
        </w:rPr>
        <w:t>Kroatien, europäischer Kontext; Pandemie-Stewardship-Befunde europäisch übertragbar</w:t>
      </w:r>
    </w:p>
    <w:p>
      <w:r>
        <w:rPr>
          <w:color w:val="5A7D3A"/>
          <w:sz w:val="18"/>
        </w:rPr>
        <w:t>https://pubmed.ncbi.nlm.nih.gov/42859407/</w:t>
      </w:r>
    </w:p>
    <w:p>
      <w:pPr>
        <w:pStyle w:val="Heading2"/>
      </w:pPr>
      <w:r>
        <w:t>5-Faktor-Modell für Staphylococcus-aureus-Sepsis-Mortalität: AUC 0,816</w:t>
      </w:r>
    </w:p>
    <w:p>
      <w:r>
        <w:rPr>
          <w:i/>
          <w:color w:val="666666"/>
          <w:sz w:val="18"/>
        </w:rPr>
        <w:t>Yu Z et al.  ·  Medicine (Baltimore)  ·  09.10.2026  ·  PMID 42854039</w:t>
      </w:r>
    </w:p>
    <w:p>
      <w:r>
        <w:t>Retrospektive Kohortenstudie von 2.221 ICU-Patienten mit bestätigter Bacteriämie zur Identifikation von Faktoren für S.-aureus-BSI und Mortalitätsprognose (MIMIC-IV-Daten).</w:t>
      </w:r>
    </w:p>
    <w:p>
      <w:r>
        <w:rPr>
          <w:b/>
        </w:rPr>
        <w:t xml:space="preserve">Ergebnis: </w:t>
      </w:r>
      <w:r>
        <w:t>297 S.-aureus-BSI (13,4%); nach Matching 26,9% versus 24,2% 28-Tages-Mortalität (kein signifikanter Unterschied). Prognostisches Modell mit 5 Faktoren (Alter, RDW-max, WBC-min, aPTT-min, Albumin-max): AUC 0,816 (95%-KI 0,757–0,870), optimism-corrected 0,804 (0,752–0,861); externe Validierung AUC 0,778 (0,591–0,929).</w:t>
      </w:r>
    </w:p>
    <w:p>
      <w:r>
        <w:rPr>
          <w:b/>
          <w:sz w:val="19"/>
        </w:rPr>
        <w:t xml:space="preserve">Übertragbarkeit: </w:t>
      </w:r>
      <w:r>
        <w:rPr>
          <w:sz w:val="19"/>
        </w:rPr>
        <w:t>USA-ICU-Daten; nur Prognose-Befund ohne Interventionsbezug, begrenzt übertragbar</w:t>
      </w:r>
    </w:p>
    <w:p>
      <w:r>
        <w:rPr>
          <w:color w:val="5A7D3A"/>
          <w:sz w:val="18"/>
        </w:rPr>
        <w:t>https://pubmed.ncbi.nlm.nih.gov/42854039/</w:t>
      </w:r>
    </w:p>
    <w:p>
      <w:pPr>
        <w:pStyle w:val="Heading2"/>
      </w:pPr>
      <w:r>
        <w:t>Zahnwurzel-Desinfektionserfolg hängt von Position ab: apikal/medial 69% Restbakterien</w:t>
      </w:r>
    </w:p>
    <w:p>
      <w:r>
        <w:rPr>
          <w:i/>
          <w:color w:val="666666"/>
          <w:sz w:val="18"/>
        </w:rPr>
        <w:t>Böcher S et al.  ·  Clin Oral Investig  ·  26.08.2026  ·  PMID 42645627</w:t>
      </w:r>
    </w:p>
    <w:p>
      <w:r>
        <w:t>Experimentelle Studie mit 30 menschlichen Zähnen (E.-faecalis-Infektion) zur Bewertung von Desinfektionseffektivität nach Position mittels konfokaler Lasermikroskopie mit LIVE/DEAD-Färbung.</w:t>
      </w:r>
    </w:p>
    <w:p>
      <w:r>
        <w:rPr>
          <w:b/>
        </w:rPr>
        <w:t xml:space="preserve">Ergebnis: </w:t>
      </w:r>
      <w:r>
        <w:t>Wurzelkanalposition war signifikanter Faktor für Bakterienkolonisation und Eradikation (p&lt;0,05), nicht Behandlung oder Sklerosierungsgrad. Restbakterien in bewässerter Zone wahrscheinlicher medial/apikal (OR 2,67–2,74) als koronal: 45,5% koronal, 69,0% medial, 69,6% apikal. Weder Behandlung noch Sonic-Aktivierung signifikant.</w:t>
      </w:r>
    </w:p>
    <w:p>
      <w:r>
        <w:rPr>
          <w:b/>
          <w:sz w:val="19"/>
        </w:rPr>
        <w:t xml:space="preserve">Übertragbarkeit: </w:t>
      </w:r>
      <w:r>
        <w:rPr>
          <w:sz w:val="19"/>
        </w:rPr>
        <w:t>Deutschland (RWTH Aachen), vergleichbare Laborbedingungen; Befund jedoch in vitro ohne Patientenrelevanz</w:t>
      </w:r>
    </w:p>
    <w:p>
      <w:r>
        <w:rPr>
          <w:color w:val="5A7D3A"/>
          <w:sz w:val="18"/>
        </w:rPr>
        <w:t>https://pubmed.ncbi.nlm.nih.gov/42645627/</w:t>
      </w:r>
    </w:p>
    <w:p>
      <w:pPr>
        <w:pStyle w:val="Heading2"/>
      </w:pPr>
      <w:r>
        <w:t>Straßenverkehrssicherheit: Systemansatz stärker als Personenfokus, aber lokale Hemmnisse</w:t>
      </w:r>
    </w:p>
    <w:p>
      <w:r>
        <w:rPr>
          <w:i/>
          <w:color w:val="666666"/>
          <w:sz w:val="18"/>
        </w:rPr>
        <w:t>Staton M et al.  ·  Accid Anal Prev  ·  13.08.2026  ·  PMID 42594689</w:t>
      </w:r>
    </w:p>
    <w:p>
      <w:r>
        <w:t>Qualitative Studie mit 21 Interviews zu Entscheidungsfindung und Beziehungen zwischen Akteuren der Straßenverkehrssicherheit auf kommunaler Ebene (UK).</w:t>
      </w:r>
    </w:p>
    <w:p>
      <w:r>
        <w:rPr>
          <w:b/>
        </w:rPr>
        <w:t xml:space="preserve">Ergebnis: </w:t>
      </w:r>
      <w:r>
        <w:t>Dominanter Ansatz weiterhin personenbasiert statt systemisch; Verantwortungsverlagerung auf lokale Ebene könnte dies verstärken. Schlüsselfaktoren: formale Partnerschaften, Cross-Department-Arbeit, finanzielle Hebel. Vision Zero/Safe-System-Ansatz identifiziert als Facilitation für Systemshift; Siloarbeit, Öffentlichkeit, Lobbying als Barrieren.</w:t>
      </w:r>
    </w:p>
    <w:p>
      <w:r>
        <w:rPr>
          <w:b/>
          <w:sz w:val="19"/>
        </w:rPr>
        <w:t xml:space="preserve">Übertragbarkeit: </w:t>
      </w:r>
      <w:r>
        <w:rPr>
          <w:sz w:val="19"/>
        </w:rPr>
        <w:t>Großbritannien, qualitative Governance-Studie; transferierbare Befunde zu Entscheidungsmechanismen</w:t>
      </w:r>
    </w:p>
    <w:p>
      <w:r>
        <w:rPr>
          <w:color w:val="5A7D3A"/>
          <w:sz w:val="18"/>
        </w:rPr>
        <w:t>https://pubmed.ncbi.nlm.nih.gov/42594689/</w:t>
      </w:r>
    </w:p>
    <w:p>
      <w:pPr>
        <w:pStyle w:val="Heading1"/>
      </w:pPr>
      <w:r>
        <w:t>Aufgenommen am 12.10.2026</w:t>
      </w:r>
    </w:p>
    <w:p>
      <w:pPr>
        <w:pStyle w:val="Heading2"/>
      </w:pPr>
      <w:r>
        <w:t>Nanopartikel-Beschichtung senkte Umgebungskeime auf Intensivstationen um 26,5 %</w:t>
      </w:r>
    </w:p>
    <w:p>
      <w:r>
        <w:rPr>
          <w:i/>
          <w:color w:val="666666"/>
          <w:sz w:val="18"/>
        </w:rPr>
        <w:t>Varma S et al.  ·  J Infect Dev Ctries  ·  30.09.2026  ·  PMID 42858349</w:t>
      </w:r>
    </w:p>
    <w:p>
      <w:r>
        <w:t>Studie an zwei Intensivstationen eines Trauma-Zentrums in Indien verglich die Wirkung einer Titandioxid-Nanopartikel-Beschichtung gegen Routinereinigung.</w:t>
      </w:r>
    </w:p>
    <w:p>
      <w:r>
        <w:rPr>
          <w:b/>
        </w:rPr>
        <w:t xml:space="preserve">Ergebnis: </w:t>
      </w:r>
      <w:r>
        <w:t>Auf der beschichteten Station sanken positive Umweltabstriche um 26,5 %, auf der Kontrollstation stiegen sie um 160,9 % (p = 0,000). Ventilator-assoziierte Pneumonie sank um 72,5 %; zentrale Kathetersepsis und Harnwegsinfektionen stiegen. Die Beschichtung könnte Standardmethoden supplementieren, weitere Studien zur Kosteneffektivität sind erforderlich.</w:t>
      </w:r>
    </w:p>
    <w:p>
      <w:r>
        <w:rPr>
          <w:b/>
          <w:sz w:val="19"/>
        </w:rPr>
        <w:t xml:space="preserve">Übertragbarkeit: </w:t>
      </w:r>
      <w:r>
        <w:rPr>
          <w:sz w:val="19"/>
        </w:rPr>
        <w:t>Indien, Trauma-Zentrum; Übertragbarkeit auf Deutschland begrenzt durch Ressourcenlage, aber Konzept einer zusätzlichen Desinfektionsmassnahme prüfenswert.</w:t>
      </w:r>
    </w:p>
    <w:p>
      <w:r>
        <w:rPr>
          <w:color w:val="5A7D3A"/>
          <w:sz w:val="18"/>
        </w:rPr>
        <w:t>https://pubmed.ncbi.nlm.nih.gov/42858349/</w:t>
      </w:r>
    </w:p>
    <w:p>
      <w:pPr>
        <w:pStyle w:val="Heading2"/>
      </w:pPr>
      <w:r>
        <w:t>Händehygiene-Compliance während COVID-19 stieg auf 33,1 %, fiel danach auf 14,7 %</w:t>
      </w:r>
    </w:p>
    <w:p>
      <w:r>
        <w:rPr>
          <w:i/>
          <w:color w:val="666666"/>
          <w:sz w:val="18"/>
        </w:rPr>
        <w:t>Mlouki I et al.  ·  J Infect Dev Ctries  ·  30.09.2026  ·  PMID 42858347</w:t>
      </w:r>
    </w:p>
    <w:p>
      <w:r>
        <w:t>Beobachtungsstudie an einem tunesischen Universitätsklinikum analysierte Trends in der Händehygiene-Compliance von 2020 bis 2023 unter Gesundheitspersonal.</w:t>
      </w:r>
    </w:p>
    <w:p>
      <w:r>
        <w:rPr>
          <w:b/>
        </w:rPr>
        <w:t xml:space="preserve">Ergebnis: </w:t>
      </w:r>
      <w:r>
        <w:t>Von 993 dokumentierten Handhygiene-Gelegenheiten: Gesamtcompliance 22,1 %, mit Gipfel 33,1 % im Jahr 2022 und Rückfall auf 14,7 % im Jahr 2023. Nach Patientenkontakt höher (28,4 % vs. 39 %, p = 0,08). Compliance in Hochrisiko-Abteilungen und bei invasiven Verfahren besser. Kontinuierliche Überwachung und institutionelle Unterstützung notwendig, um Rückfälle zu verhindern.</w:t>
      </w:r>
    </w:p>
    <w:p>
      <w:r>
        <w:rPr>
          <w:b/>
          <w:sz w:val="19"/>
        </w:rPr>
        <w:t xml:space="preserve">Übertragbarkeit: </w:t>
      </w:r>
      <w:r>
        <w:rPr>
          <w:sz w:val="19"/>
        </w:rPr>
        <w:t>Tunesien; ähnliche Herausforderungen bei Nachhaltigkeitsdefizit wie in Mitteleuropa, braucht aber Kontext lokaler Ressourcen.</w:t>
      </w:r>
    </w:p>
    <w:p>
      <w:r>
        <w:rPr>
          <w:color w:val="5A7D3A"/>
          <w:sz w:val="18"/>
        </w:rPr>
        <w:t>https://pubmed.ncbi.nlm.nih.gov/42858347/</w:t>
      </w:r>
    </w:p>
    <w:p>
      <w:pPr>
        <w:pStyle w:val="Heading2"/>
      </w:pPr>
      <w:r>
        <w:t>Breispektrum-Antibiotika verdreifachten sich bei CRE-Blutstrominfektionen während COVID-19</w:t>
      </w:r>
    </w:p>
    <w:p>
      <w:r>
        <w:rPr>
          <w:i/>
          <w:color w:val="666666"/>
          <w:sz w:val="18"/>
        </w:rPr>
        <w:t>Xu L et al.  ·  J Infect Dev Ctries  ·  30.09.2026  ·  PMID 42858345</w:t>
      </w:r>
    </w:p>
    <w:p>
      <w:r>
        <w:t>Retrospektive Kohortenstudie in China untersuchte die Auswirkung der COVID-19-Pandemie auf Häufigkeit carbapenem-resistenter Enterobacteriaceae-Blutstrominfektionen und Antibiotikaverbrauch.</w:t>
      </w:r>
    </w:p>
    <w:p>
      <w:r>
        <w:rPr>
          <w:b/>
        </w:rPr>
        <w:t xml:space="preserve">Ergebnis: </w:t>
      </w:r>
      <w:r>
        <w:t>184 CRE-BSI-Fälle über drei Zeiträume; CRE-BSI-Raten stabil (7,81 bis 9,63 pro 100.000 Hospitalisierungstage). Antibiotikaverbrauch stieg signifikant (p &lt; 0,001), Cephalosporine-Nutzung bei CRE-Patienten um 50 % erhöht. Carbapenem-Resistenzrate 18,6–19,0 % ohne signifikante Unterschiede. Breite Antibiotika-Eskalation war nicht gerechtfertigt und trägt zur Resistenzentwicklung bei.</w:t>
      </w:r>
    </w:p>
    <w:p>
      <w:r>
        <w:rPr>
          <w:b/>
          <w:sz w:val="19"/>
        </w:rPr>
        <w:t xml:space="preserve">Übertragbarkeit: </w:t>
      </w:r>
      <w:r>
        <w:rPr>
          <w:sz w:val="19"/>
        </w:rPr>
        <w:t>China, einzelnes Zentrum; zeigt Stewardship-Versäumnisse, die typisch für Pandemie-Krisen auch in Deutschland auftraten.</w:t>
      </w:r>
    </w:p>
    <w:p>
      <w:r>
        <w:rPr>
          <w:color w:val="5A7D3A"/>
          <w:sz w:val="18"/>
        </w:rPr>
        <w:t>https://pubmed.ncbi.nlm.nih.gov/42858345/</w:t>
      </w:r>
    </w:p>
    <w:p>
      <w:pPr>
        <w:pStyle w:val="Heading2"/>
      </w:pPr>
      <w:r>
        <w:t>Chinesischer Expertenkonsens: Risikomanagement im klinisch-pathologischen Labor – acht Schlüsselfragen beantwortet</w:t>
      </w:r>
    </w:p>
    <w:p>
      <w:r>
        <w:rPr>
          <w:i/>
          <w:color w:val="666666"/>
          <w:sz w:val="18"/>
        </w:rPr>
        <w:t>Quality and Competency Management Group, Professional Committee of Tumor Pathology, China Anti-Cancer Association  ·  Zhonghua Bing Li Xue Za Zhi  ·  08.10.2026  ·  PMID 42851194</w:t>
      </w:r>
    </w:p>
    <w:p>
      <w:r>
        <w:t>Strukturierter Konsens der Chinese Anti-Cancer Association zur systematischen Risikoidenti­fizierung, -bewertung und -kontrolle in klinisch-pathologischen Laboratorien, basierend auf ISO- und CNAS-Standards.</w:t>
      </w:r>
    </w:p>
    <w:p>
      <w:r>
        <w:rPr>
          <w:b/>
        </w:rPr>
        <w:t xml:space="preserve">Ergebnis: </w:t>
      </w:r>
      <w:r>
        <w:t>Der Konsens adressiert acht klinische Fragen; definiert Risiko-Dimensionen: technische Operationen, biologische Sicherheit, Datenmanagement, Qualitätskontrolle. Kernprinzipien: Patientensicherheit und Diagnosequalität als Leitziel, strukturierte Risikopfade (Identifikation, Bewertung, Kontrolle, kontinuierliche Verbesserung). Praktische Managementmassnahmen für Pathologie-Labore etabliert. Ziel: Anhebung des Risiko-Bewusstseins und Optimierung der Ressourcen-Allokation.</w:t>
      </w:r>
    </w:p>
    <w:p>
      <w:r>
        <w:rPr>
          <w:b/>
          <w:sz w:val="19"/>
        </w:rPr>
        <w:t xml:space="preserve">Übertragbarkeit: </w:t>
      </w:r>
      <w:r>
        <w:rPr>
          <w:sz w:val="19"/>
        </w:rPr>
        <w:t>China, aber ISO-Standards und CNAS-Kriterien international gültig; Konsens-Methodik übertragbar auf deutsche Laboratorien nach RiliBÄK.</w:t>
      </w:r>
    </w:p>
    <w:p>
      <w:r>
        <w:rPr>
          <w:color w:val="5A7D3A"/>
          <w:sz w:val="18"/>
        </w:rPr>
        <w:t>https://pubmed.ncbi.nlm.nih.gov/42851194/</w:t>
      </w:r>
    </w:p>
    <w:p>
      <w:pPr>
        <w:pStyle w:val="Heading2"/>
      </w:pPr>
      <w:r>
        <w:t>JAAM-DIC-Score: Sensitivität 81,5 % zur Vorhersage von 28-Tage-Mortalität bei Sepsis-Koagulopathie</w:t>
      </w:r>
    </w:p>
    <w:p>
      <w:r>
        <w:rPr>
          <w:i/>
          <w:color w:val="666666"/>
          <w:sz w:val="18"/>
        </w:rPr>
        <w:t>Hannan M et al.  ·  J Coll Physicians Surg Pak  ·  Okt. 2026  ·  PMID 42851092</w:t>
      </w:r>
    </w:p>
    <w:p>
      <w:r>
        <w:t>Prospektive analytische Studie mit 150 Sepsis-Patienten auf einer Intensivstation in Pakistan evaluierte die Vorhersagekraft des JAAM-DIC-Scores für 28-Tage-Mortalität.</w:t>
      </w:r>
    </w:p>
    <w:p>
      <w:r>
        <w:rPr>
          <w:b/>
        </w:rPr>
        <w:t xml:space="preserve">Ergebnis: </w:t>
      </w:r>
      <w:r>
        <w:t>72 Patienten (48,0 %) mit JAAM-DIC-Score ≥4. 28-Tage-Mortalität 43,3 % (65 Todesfälle). JAAM-DIC: Sensitivität 81,5 %, Spezifität 77,6 %, PPV 73,6 %, NPV 84,6 %, diagnostische Genauigkeit 79,3 %. Score war durchführbar zur Risiko­stratifizierung von hochriskanten septischen Patienten mit DIC.</w:t>
      </w:r>
    </w:p>
    <w:p>
      <w:r>
        <w:rPr>
          <w:b/>
          <w:sz w:val="19"/>
        </w:rPr>
        <w:t xml:space="preserve">Übertragbarkeit: </w:t>
      </w:r>
      <w:r>
        <w:rPr>
          <w:sz w:val="19"/>
        </w:rPr>
        <w:t>Pakistan, Intensivmedizin; Score-Validierung international, deutsches Sepsis-Management würde ähnlich profitieren.</w:t>
      </w:r>
    </w:p>
    <w:p>
      <w:r>
        <w:rPr>
          <w:color w:val="5A7D3A"/>
          <w:sz w:val="18"/>
        </w:rPr>
        <w:t>https://pubmed.ncbi.nlm.nih.gov/42851092/</w:t>
      </w:r>
    </w:p>
    <w:p>
      <w:pPr>
        <w:pStyle w:val="Heading2"/>
      </w:pPr>
      <w:r>
        <w:t>SOFA-Score vorhersagekräftiger als Biomarker für Sepsis-Mortalität auf ländlicher Intensivstation</w:t>
      </w:r>
    </w:p>
    <w:p>
      <w:r>
        <w:rPr>
          <w:i/>
          <w:color w:val="666666"/>
          <w:sz w:val="18"/>
        </w:rPr>
        <w:t>Reddy H et al.  ·  Clin Lab  ·  01.10.2026  ·  PMID 42847956</w:t>
      </w:r>
    </w:p>
    <w:p>
      <w:r>
        <w:t>Querschnittsstudie mit 300 Patienten auf einer ländlichen Intensivstation in Indien verglich kritische Scores und Biomarker zur Prognose von Sepsis-Mortalität und Beatmungsbedarf.</w:t>
      </w:r>
    </w:p>
    <w:p>
      <w:r>
        <w:rPr>
          <w:b/>
        </w:rPr>
        <w:t xml:space="preserve">Ergebnis: </w:t>
      </w:r>
      <w:r>
        <w:t>SOFA mit Cutoff ≥9 beste Vorhersage (OR: 2,98, p &lt; 0,001, Sensitivität 94 %, Spezifität 86 %). APACHE IV (Cutoff &gt;71, AUC 0,840) und NLPR (Cutoff &gt;3,1, AUC 0,716) signifikant. PaO₂/FiO₂ negativ korreliert mit Mortalität (OR 0,022, p &lt; 0,001) und Beatmungsbedarf. 70 Todesfälle in der Kohorte. In ressourcenlimitierten Umgebungen ist NLPR pragmatische Alternative.</w:t>
      </w:r>
    </w:p>
    <w:p>
      <w:r>
        <w:rPr>
          <w:b/>
          <w:sz w:val="19"/>
        </w:rPr>
        <w:t xml:space="preserve">Übertragbarkeit: </w:t>
      </w:r>
      <w:r>
        <w:rPr>
          <w:sz w:val="19"/>
        </w:rPr>
        <w:t>Indien, ländliches Setting; SOFA-Überlegenheit aber auch in deutschen Zentren mit besseren Ressourcen etabliert.</w:t>
      </w:r>
    </w:p>
    <w:p>
      <w:r>
        <w:rPr>
          <w:color w:val="5A7D3A"/>
          <w:sz w:val="18"/>
        </w:rPr>
        <w:t>https://pubmed.ncbi.nlm.nih.gov/42847956/</w:t>
      </w:r>
    </w:p>
    <w:p>
      <w:pPr>
        <w:pStyle w:val="Heading2"/>
      </w:pPr>
      <w:r>
        <w:t>Pichia-kudriavzevii-Ausbruch über sechs Krankenhäuser hinweg, ein Stamm seit 1935 nachweisbar</w:t>
      </w:r>
    </w:p>
    <w:p>
      <w:r>
        <w:rPr>
          <w:i/>
          <w:color w:val="666666"/>
          <w:sz w:val="18"/>
        </w:rPr>
        <w:t>Spruijtenburg B et al.  ·  Med Mycol  ·  05.08.2026  ·  PMID 42560405</w:t>
      </w:r>
    </w:p>
    <w:p>
      <w:r>
        <w:t>Molekularepidemiologische Studie mit Kurzsequenz-Wiederholungs-Genotypisierung von 106 Pichia-kudriavzevii-Isolaten aus Indien zeigte nosokomialen Transmissionsmustern und einen global verbreiteten Stamm.</w:t>
      </w:r>
    </w:p>
    <w:p>
      <w:r>
        <w:rPr>
          <w:b/>
        </w:rPr>
        <w:t xml:space="preserve">Ergebnis: </w:t>
      </w:r>
      <w:r>
        <w:t>52 unterschiedliche Genotypen plus fünf Cluster (zwei bis 22 Isolate). Ein Multizentrums-Cluster umfasste sechs Krankenhäuser; derselbe Stamm identisch mit iranischen Isolaten und verwandt mit niederländischen und sri-lankischen Isolaten (letzte seit 1935). Fluconazol-Resistenz intrinsisch. Befund deuten auf erhöhtes Transmissionspotenzial und Fitness-Vorteil eines Stamms hin.</w:t>
      </w:r>
    </w:p>
    <w:p>
      <w:r>
        <w:rPr>
          <w:b/>
          <w:sz w:val="19"/>
        </w:rPr>
        <w:t xml:space="preserve">Übertragbarkeit: </w:t>
      </w:r>
      <w:r>
        <w:rPr>
          <w:sz w:val="19"/>
        </w:rPr>
        <w:t>Indien; zeigt grenzüberschreitende nosokomiale Transmission, unterstreicht Surveillance-Notwendigkeit auch in Deutschland.</w:t>
      </w:r>
    </w:p>
    <w:p>
      <w:r>
        <w:rPr>
          <w:color w:val="5A7D3A"/>
          <w:sz w:val="18"/>
        </w:rPr>
        <w:t>https://pubmed.ncbi.nlm.nih.gov/42560405/</w:t>
      </w:r>
    </w:p>
    <w:p>
      <w:pPr>
        <w:pStyle w:val="Heading1"/>
      </w:pPr>
      <w:r>
        <w:t>Aufgenommen am 11.10.2026</w:t>
      </w:r>
    </w:p>
    <w:p>
      <w:pPr>
        <w:pStyle w:val="Heading2"/>
      </w:pPr>
      <w:r>
        <w:t>Deprescribing-Leitlinie für ältere Erwachsene reduziert potentiell unangemessene Medikamente</w:t>
      </w:r>
    </w:p>
    <w:p>
      <w:r>
        <w:rPr>
          <w:i/>
          <w:color w:val="666666"/>
          <w:sz w:val="18"/>
        </w:rPr>
        <w:t>Tian F et al.  ·  BMC Geriatr  ·  21.09.2026  ·  PMID 42855669</w:t>
      </w:r>
    </w:p>
    <w:p>
      <w:r>
        <w:t>Chinesische Fachgruppe entwickelte evidenzbasierte Richtlinie für De-Verschreibung potentiell unangemessener Medikamente (PIM) bei älteren Erwachsenen mit standardisiertem ORDER-Prozess (fünf Schritte) und Delphi-Konsens.</w:t>
      </w:r>
    </w:p>
    <w:p>
      <w:r>
        <w:rPr>
          <w:b/>
        </w:rPr>
        <w:t xml:space="preserve">Ergebnis: </w:t>
      </w:r>
      <w:r>
        <w:t>Neue Leitlinie ORDER (organize, medication review, develop plan, execute, realize feedback) als erstes standardisiertes Chinas-Protokoll für PIM-Management. Multidisziplinäres Modell mit Patientenbeteiligung; 15 Aspekte für deprescribing-Empfehlungen entwickelt. Konkrete Machbarkeit und Priorisierung von PIM empfohlen.</w:t>
      </w:r>
    </w:p>
    <w:p>
      <w:r>
        <w:rPr>
          <w:b/>
          <w:sz w:val="19"/>
        </w:rPr>
        <w:t xml:space="preserve">Übertragbarkeit: </w:t>
      </w:r>
      <w:r>
        <w:rPr>
          <w:sz w:val="19"/>
        </w:rPr>
        <w:t>China, aber Medication-Safety-Grundprinzipien international übertragbar, deutsche Geriatrie-Leitlinien ähnlich strukturiert</w:t>
      </w:r>
    </w:p>
    <w:p>
      <w:r>
        <w:rPr>
          <w:color w:val="5A7D3A"/>
          <w:sz w:val="18"/>
        </w:rPr>
        <w:t>https://pubmed.ncbi.nlm.nih.gov/42855669/</w:t>
      </w:r>
    </w:p>
    <w:p>
      <w:pPr>
        <w:pStyle w:val="Heading2"/>
      </w:pPr>
      <w:r>
        <w:t>Ethische Haltung von Notfallteams schwach assoziiert mit Bewusstsein für Kunstfehlerhaftung</w:t>
      </w:r>
    </w:p>
    <w:p>
      <w:r>
        <w:rPr>
          <w:i/>
          <w:color w:val="666666"/>
          <w:sz w:val="18"/>
        </w:rPr>
        <w:t>Degirmenci S et al.  ·  Medicine (Baltimore)  ·  09.10.2026  ·  PMID 42854010</w:t>
      </w:r>
    </w:p>
    <w:p>
      <w:r>
        <w:t>Türkische Querschnittsstudie an 397 Notfall-Fachpersonen entwickelte Skala für ethischen Zugang zu psychiatrischen Patienten in Notfallkontexten und prüfte Assoziation mit Bewusstsein für Kunstfehlerhaftungsrisiko.</w:t>
      </w:r>
    </w:p>
    <w:p>
      <w:r>
        <w:rPr>
          <w:b/>
        </w:rPr>
        <w:t xml:space="preserve">Ergebnis: </w:t>
      </w:r>
      <w:r>
        <w:t>Angepasste 16-Item-Skala für ethischen Zugang validiert. Kunstfehlerhaftungsrisiko-Bewusstsein unterschied sich signifikant nach Geschlecht, Beruf, Einkommen, Schulung und Kunstfehler-Erlebnis. Ethische Zugangsskala zeigte statistisch signifikante, aber schwache Assoziation (1,5% erklärte Varianz) mit Kunstfehler-Bewusstsein.</w:t>
      </w:r>
    </w:p>
    <w:p>
      <w:r>
        <w:rPr>
          <w:b/>
          <w:sz w:val="19"/>
        </w:rPr>
        <w:t xml:space="preserve">Übertragbarkeit: </w:t>
      </w:r>
      <w:r>
        <w:rPr>
          <w:sz w:val="19"/>
        </w:rPr>
        <w:t>Türkei, Notfall-Sicherheitskultur, aber Ethik-Kunstfehler-Nexus international relevant</w:t>
      </w:r>
    </w:p>
    <w:p>
      <w:r>
        <w:rPr>
          <w:color w:val="5A7D3A"/>
          <w:sz w:val="18"/>
        </w:rPr>
        <w:t>https://pubmed.ncbi.nlm.nih.gov/42854010/</w:t>
      </w:r>
    </w:p>
    <w:p>
      <w:pPr>
        <w:pStyle w:val="Heading2"/>
      </w:pPr>
      <w:r>
        <w:t>Laborbasiertes Prognose-Nomogramm stratifiziert Sepsis-Patienten früh nach Mortalitätsrisiko</w:t>
      </w:r>
    </w:p>
    <w:p>
      <w:r>
        <w:rPr>
          <w:i/>
          <w:color w:val="666666"/>
          <w:sz w:val="18"/>
        </w:rPr>
        <w:t>Shu M et al.  ·  Lab Med  ·  05.10.2026  ·  PMID 42853634</w:t>
      </w:r>
    </w:p>
    <w:p>
      <w:r>
        <w:t>Entwicklung und Validierung eines LASSO-basierten Nomogramms zur Früh-Risikostratifikation bei Sepsis mit Laborparametern (SOFA, GCS, Harnstoff, IL-6).</w:t>
      </w:r>
    </w:p>
    <w:p>
      <w:r>
        <w:rPr>
          <w:b/>
        </w:rPr>
        <w:t xml:space="preserve">Ergebnis: </w:t>
      </w:r>
      <w:r>
        <w:t>Concordance-Index 0,806 (Training) und 0,889 (Validierung); Sensitivität/Spezifität 85,0%/68,8% (Training) und 87,9%/86,7% (Validierung). SOFA-Score (OR 1,271), GCS (OR 0,807), Serumurea (OR 1,097), IL-6 (OR 1,001) als unabhängige Prognose-Faktoren. Kalibrierungskurven zeigen gute Übereinstimmung.</w:t>
      </w:r>
    </w:p>
    <w:p>
      <w:r>
        <w:rPr>
          <w:b/>
          <w:sz w:val="19"/>
        </w:rPr>
        <w:t xml:space="preserve">Übertragbarkeit: </w:t>
      </w:r>
      <w:r>
        <w:rPr>
          <w:sz w:val="19"/>
        </w:rPr>
        <w:t>China, aber Sepsis-Biomarker und Prognose-Validierungsprinzipien global anwendbar</w:t>
      </w:r>
    </w:p>
    <w:p>
      <w:r>
        <w:rPr>
          <w:color w:val="5A7D3A"/>
          <w:sz w:val="18"/>
        </w:rPr>
        <w:t>https://pubmed.ncbi.nlm.nih.gov/42853634/</w:t>
      </w:r>
    </w:p>
    <w:p>
      <w:pPr>
        <w:pStyle w:val="Heading2"/>
      </w:pPr>
      <w:r>
        <w:t>Sepsis-Coagulopathie: Trajektorien vorhersagen Mortalität und Heparineffekt</w:t>
      </w:r>
    </w:p>
    <w:p>
      <w:r>
        <w:rPr>
          <w:i/>
          <w:color w:val="666666"/>
          <w:sz w:val="18"/>
        </w:rPr>
        <w:t>Cao Y et al.  ·  Front Cell Infect Microbiol  ·  24.09.2026  ·  PMID 42851353</w:t>
      </w:r>
    </w:p>
    <w:p>
      <w:r>
        <w:t>Multizenterstudie an 20.168 ICU-Patienten mit Sepsis-induzierter Coagulopathie (SIC), die drei Verlaufsmuster identifizierte und deren Assoziation mit 28-Tage-Mortalität sowie Wirksamkeit prophylaktischer Heparingabe evaluierte.</w:t>
      </w:r>
    </w:p>
    <w:p>
      <w:r>
        <w:rPr>
          <w:b/>
        </w:rPr>
        <w:t xml:space="preserve">Ergebnis: </w:t>
      </w:r>
      <w:r>
        <w:t>Drei SIC-Trajektorien: persistierend erhöht (31,9%), ansteigend-dann-fallend (10,6%), resolvent (57,5%). Persistierend erhöhte Trajektorie zeigte adjustierte Subdistribution-Hazard-Ratio 1,65 (95%-KI 1,52–1,78) für Mortalität vs. resolvent. Prophylaktisches Heparin assoziiert mit reduzierter Post-Landmark-Mortalität in MIMIC-IV (sHR 0,908, p=0,018), nicht repliziert in eICU-CRD (p=0,118).</w:t>
      </w:r>
    </w:p>
    <w:p>
      <w:r>
        <w:rPr>
          <w:b/>
          <w:sz w:val="19"/>
        </w:rPr>
        <w:t xml:space="preserve">Übertragbarkeit: </w:t>
      </w:r>
      <w:r>
        <w:rPr>
          <w:sz w:val="19"/>
        </w:rPr>
        <w:t>Multinationale ICU-Daten, sepsis-relevantes Treatment-Outcome, Translatierbarkeit begrenzt durch unterschiedliche Erkrankungsschwere</w:t>
      </w:r>
    </w:p>
    <w:p>
      <w:r>
        <w:rPr>
          <w:color w:val="5A7D3A"/>
          <w:sz w:val="18"/>
        </w:rPr>
        <w:t>https://pubmed.ncbi.nlm.nih.gov/42851353/</w:t>
      </w:r>
    </w:p>
    <w:p>
      <w:pPr>
        <w:pStyle w:val="Heading2"/>
      </w:pPr>
      <w:r>
        <w:t>Persistenter Ausbruch von Carbapenem-resistentem Acinetobacter baumannii trotz Standard-Infektionsprävention</w:t>
      </w:r>
    </w:p>
    <w:p>
      <w:r>
        <w:rPr>
          <w:i/>
          <w:color w:val="666666"/>
          <w:sz w:val="18"/>
        </w:rPr>
        <w:t>Sourenian T et al.  ·  Front Cell Infect Microbiol  ·  24.09.2026  ·  PMID 42851326</w:t>
      </w:r>
    </w:p>
    <w:p>
      <w:r>
        <w:t>Outbreak-Untersuchung von 13 XDR-Acinetobacter-baumannii-Stämmen (ST2) in libanesischer ICU mit molekularer Genotypisierung, die zwei nosokomial übertragene Cluster und Übertragungs-Potenzial nachweisen.</w:t>
      </w:r>
    </w:p>
    <w:p>
      <w:r>
        <w:rPr>
          <w:b/>
        </w:rPr>
        <w:t xml:space="preserve">Ergebnis: </w:t>
      </w:r>
      <w:r>
        <w:t>Alle Isolate blaOXA-23 chromosomal; 52 Genotypen und fünf Cluster identifiziert (vier auf einzelne Kliniken begrenzt, ein Cluster über sechs Kliniken). Größter Cluster mit iranischen, niederländischen und Sri-Lanka-Isolaten verwandt. SNP-Analyse bestätigt hohe Diskriminationsfähigkeit. Fortgesetzte Zirkulation trotz konventioneller Infektionsprävention zeigt erhöhtes Transmissionspotenzial dieser Linie.</w:t>
      </w:r>
    </w:p>
    <w:p>
      <w:r>
        <w:rPr>
          <w:b/>
          <w:sz w:val="19"/>
        </w:rPr>
        <w:t xml:space="preserve">Übertragbarkeit: </w:t>
      </w:r>
      <w:r>
        <w:rPr>
          <w:sz w:val="19"/>
        </w:rPr>
        <w:t>Libanon, aber Carbapenem-Resistenz-Management und ICU-Hygiene-Struktur in Deutschland hochrelevant</w:t>
      </w:r>
    </w:p>
    <w:p>
      <w:r>
        <w:rPr>
          <w:color w:val="5A7D3A"/>
          <w:sz w:val="18"/>
        </w:rPr>
        <w:t>https://pubmed.ncbi.nlm.nih.gov/42851326/</w:t>
      </w:r>
    </w:p>
    <w:p>
      <w:pPr>
        <w:pStyle w:val="Heading2"/>
      </w:pPr>
      <w:r>
        <w:t>Umleitung von Nicht-Notfall-Patienten aus der Notaufnahme in Hausarztpraxen ist sicher</w:t>
      </w:r>
    </w:p>
    <w:p>
      <w:r>
        <w:rPr>
          <w:i/>
          <w:color w:val="666666"/>
          <w:sz w:val="18"/>
        </w:rPr>
        <w:t>Alsulami W et al.  ·  Emerg Med Australas  ·  Okt. 2026  ·  PMID 42851122</w:t>
      </w:r>
    </w:p>
    <w:p>
      <w:r>
        <w:t>Scoping Review von neun Studien zur Sicherheit und Verfahrenskomponenten beim Umleiten von Nicht-Notfall-Patienten von Notaufnahmen in die Primärversorgung.</w:t>
      </w:r>
    </w:p>
    <w:p>
      <w:r>
        <w:rPr>
          <w:b/>
        </w:rPr>
        <w:t xml:space="preserve">Ergebnis: </w:t>
      </w:r>
      <w:r>
        <w:t>9,7% Rückkehrquote, 1,7% Hospitalisierungsrate, 0,07% Mortalität. Studien mit null Hospitalisierungen und Todesfällen implementierten mehrere Komponenten (Dokumentation Beschwerde, Registrierung, Vitalzeichen, Triage). Umleitung erscheint sicher und akzeptabel bei klaren Kriterien, Evidenz aber begrenzt.</w:t>
      </w:r>
    </w:p>
    <w:p>
      <w:r>
        <w:rPr>
          <w:b/>
          <w:sz w:val="19"/>
        </w:rPr>
        <w:t xml:space="preserve">Übertragbarkeit: </w:t>
      </w:r>
      <w:r>
        <w:rPr>
          <w:sz w:val="19"/>
        </w:rPr>
        <w:t>Australien und Vereinigtes Königreich, vergleichbare ED-Versorgungsstruktur und Patientensicherheitsansätze</w:t>
      </w:r>
    </w:p>
    <w:p>
      <w:r>
        <w:rPr>
          <w:color w:val="5A7D3A"/>
          <w:sz w:val="18"/>
        </w:rPr>
        <w:t>https://pubmed.ncbi.nlm.nih.gov/42851122/</w:t>
      </w:r>
    </w:p>
    <w:p>
      <w:pPr>
        <w:pStyle w:val="Heading1"/>
      </w:pPr>
      <w:r>
        <w:t>Aufgenommen am 10.10.2026</w:t>
      </w:r>
    </w:p>
    <w:p>
      <w:pPr>
        <w:pStyle w:val="Heading2"/>
      </w:pPr>
      <w:r>
        <w:t>Digitale Bestellsysteme senken Dokumentationsfehler bei Notfall-zu-ITS-Übergängen um 46 %</w:t>
      </w:r>
    </w:p>
    <w:p>
      <w:r>
        <w:rPr>
          <w:i/>
          <w:color w:val="666666"/>
          <w:sz w:val="18"/>
        </w:rPr>
        <w:t>Chien DK et al.  ·  JMIR Form Res  ·  09.10.2026  ·  PMID 42854259</w:t>
      </w:r>
    </w:p>
    <w:p>
      <w:r>
        <w:t>Retrospektive vergleichende Evaluierung eines aktualisierten digitalen Bestellsystems für Notfall-zu-Intensivmedizin-Aufnahmen (2023 vs. 2024) an einem Tertium-Zentrum in Taiwan.</w:t>
      </w:r>
    </w:p>
    <w:p>
      <w:r>
        <w:rPr>
          <w:b/>
        </w:rPr>
        <w:t xml:space="preserve">Ergebnis: </w:t>
      </w:r>
      <w:r>
        <w:t>Aktualisiertes System assoziiert mit höherer Bestellgültigkeit (54,1 % → 75,4 %; RR 1,39, KI 1,25–1,54, p &lt; 0,001), niedrigerer Fehlerquote (45,9 % → 24,6 %; RR 0,54, KI 0,44–0,66, p &lt; 0,001); doppelte und verlorene Aufträge sanken; ITS-Reservierungsalignment verbessert sich (Verhältnis 0,68 → 0,78, p = 0,03). Strukturierte, zeitstempel-gesteuerte Infrastruktur unterstützt zuverlässigere Hochrisiko-Workflows.</w:t>
      </w:r>
    </w:p>
    <w:p>
      <w:r>
        <w:rPr>
          <w:b/>
          <w:sz w:val="19"/>
        </w:rPr>
        <w:t xml:space="preserve">Übertragbarkeit: </w:t>
      </w:r>
      <w:r>
        <w:rPr>
          <w:sz w:val="19"/>
        </w:rPr>
        <w:t>Taiwan - Elektronische Order-Standardisierung übertragbar auf deutsches Kliniksetting mit vergleichbaren Workflows</w:t>
      </w:r>
    </w:p>
    <w:p>
      <w:r>
        <w:rPr>
          <w:color w:val="5A7D3A"/>
          <w:sz w:val="18"/>
        </w:rPr>
        <w:t>https://pubmed.ncbi.nlm.nih.gov/42854259/</w:t>
      </w:r>
    </w:p>
    <w:p>
      <w:pPr>
        <w:pStyle w:val="Heading2"/>
      </w:pPr>
      <w:r>
        <w:t>Nosokomialer Ausbruch durch kontaminierte Infusionslösungen: 16 Fälle in sieben deutschen Kliniken</w:t>
      </w:r>
    </w:p>
    <w:p>
      <w:r>
        <w:rPr>
          <w:i/>
          <w:color w:val="666666"/>
          <w:sz w:val="18"/>
        </w:rPr>
        <w:t>Burdi S et al.  ·  Euro Surveill  ·  Okt. 2026  ·  PMID 42852523</w:t>
      </w:r>
    </w:p>
    <w:p>
      <w:r>
        <w:t>Untersuchung eines Ausbruchs von Ralstonia mannitolilytica-Bacteriämien in deutschen Krankenhäusern von März bis September 2026, der auf kontaminierte vorgefüllte Kochsalzspritzen zurückgeführt wurde.</w:t>
      </w:r>
    </w:p>
    <w:p>
      <w:r>
        <w:rPr>
          <w:b/>
        </w:rPr>
        <w:t xml:space="preserve">Ergebnis: </w:t>
      </w:r>
      <w:r>
        <w:t>16 Fälle mit ≤6 Allel-Unterschieden in sieben Kliniken identifiziert; Produktions- und Verteilungsfehler eines Herstellers als Quelle bestätigt; Quarantäne und Nutzungsstopp des Produkts eingeleitet. Die Rückverfolgung zeigt, dass solche nosokomialen Ausbrüche auch durch systematische Beschaffungsfehler entstehen.</w:t>
      </w:r>
    </w:p>
    <w:p>
      <w:r>
        <w:rPr>
          <w:b/>
          <w:sz w:val="19"/>
        </w:rPr>
        <w:t xml:space="preserve">Übertragbarkeit: </w:t>
      </w:r>
      <w:r>
        <w:rPr>
          <w:sz w:val="19"/>
        </w:rPr>
        <w:t>Deutsche Klinikdaten, vergleichbare Hygienestandards und Meldepflichten nach IfSG</w:t>
      </w:r>
    </w:p>
    <w:p>
      <w:r>
        <w:rPr>
          <w:color w:val="5A7D3A"/>
          <w:sz w:val="18"/>
        </w:rPr>
        <w:t>https://pubmed.ncbi.nlm.nih.gov/42852523/</w:t>
      </w:r>
    </w:p>
    <w:p>
      <w:pPr>
        <w:pStyle w:val="Heading2"/>
      </w:pPr>
      <w:r>
        <w:t>NHS-Qualitätsstrategie vernachlässigt grundlegende Patientensicherheitsmaßnahmen</w:t>
      </w:r>
    </w:p>
    <w:p>
      <w:r>
        <w:rPr>
          <w:i/>
          <w:color w:val="666666"/>
          <w:sz w:val="18"/>
        </w:rPr>
        <w:t>Tingle J  ·  Br J Nurs  ·  08.10.2026  ·  PMID 42848698</w:t>
      </w:r>
    </w:p>
    <w:p>
      <w:r>
        <w:t>Analyse durch akademischen Rechtsexperten der aktuellen NHS-Qualitätsstrategie bezüglich Patientensicherheitspriorisierung und regulatorischer Überwachung.</w:t>
      </w:r>
    </w:p>
    <w:p>
      <w:r>
        <w:rPr>
          <w:b/>
        </w:rPr>
        <w:t xml:space="preserve">Ergebnis: </w:t>
      </w:r>
      <w:r>
        <w:t>Expertenmeinung identifiziert Lücken in der NHS-Strategie: Grundlegende Sicherheitsmaßnahmen werden übersehen; regulatorische Aufsicht und Dokumentation von Sicherheitsversprechen unzureichend. Kommentar hebt Misalignment zwischen strategischem Anspruch und operativer Realität hervor.</w:t>
      </w:r>
    </w:p>
    <w:p>
      <w:r>
        <w:rPr>
          <w:b/>
          <w:sz w:val="19"/>
        </w:rPr>
        <w:t xml:space="preserve">Übertragbarkeit: </w:t>
      </w:r>
      <w:r>
        <w:rPr>
          <w:sz w:val="19"/>
        </w:rPr>
        <w:t>Großbritannien (NHS) - Melde- und Haftungssystem unterscheidet sich von Deutschland durch andere Governance-Strukturen</w:t>
      </w:r>
    </w:p>
    <w:p>
      <w:r>
        <w:rPr>
          <w:color w:val="5A7D3A"/>
          <w:sz w:val="18"/>
        </w:rPr>
        <w:t>https://pubmed.ncbi.nlm.nih.gov/42848698/</w:t>
      </w:r>
    </w:p>
    <w:p>
      <w:pPr>
        <w:pStyle w:val="Heading2"/>
      </w:pPr>
      <w:r>
        <w:t>Haftungsrisiko und Spezialisierungswahl: Ärzte meiden "High-Risk"-Fachrichtungen</w:t>
      </w:r>
    </w:p>
    <w:p>
      <w:r>
        <w:rPr>
          <w:i/>
          <w:color w:val="666666"/>
          <w:sz w:val="18"/>
        </w:rPr>
        <w:t>Leśniak MW et al.  ·  Psychiatr Pol  ·  30.08.2026  ·  PMID 42848476</w:t>
      </w:r>
    </w:p>
    <w:p>
      <w:r>
        <w:t>Befragung polnischer Medizinstudierender (4.–6. Studienjahr) zur Wahrnehmung von Haftungsrisiken einzelner Fachrichtungen und deren Einfluss auf die Spezialisierungswahl.</w:t>
      </w:r>
    </w:p>
    <w:p>
      <w:r>
        <w:rPr>
          <w:b/>
        </w:rPr>
        <w:t xml:space="preserve">Ergebnis: </w:t>
      </w:r>
      <w:r>
        <w:t>Über 50 % schätzten ihr Wissen über medizinische Fehler und Stressmanagement als unzureichend ein; höhere Studienjahre und Frauen vermeiden chirurgische "High-Risk"-Fachrichtungen signifikant häufiger; ältere Studierende bewerteten ihr Wissen zu Medizinrecht und Stressmanagement besser. Studierenden betonen Bedarf für erweiterte Ausbildung in Fehlermanagement.</w:t>
      </w:r>
    </w:p>
    <w:p>
      <w:r>
        <w:rPr>
          <w:b/>
          <w:sz w:val="19"/>
        </w:rPr>
        <w:t xml:space="preserve">Übertragbarkeit: </w:t>
      </w:r>
      <w:r>
        <w:rPr>
          <w:sz w:val="19"/>
        </w:rPr>
        <w:t>Polen - Haftungssystem ähnlich Deutschland ohne kausale Entschädigung, aber Datenlage begrenzt</w:t>
      </w:r>
    </w:p>
    <w:p>
      <w:r>
        <w:rPr>
          <w:color w:val="5A7D3A"/>
          <w:sz w:val="18"/>
        </w:rPr>
        <w:t>https://pubmed.ncbi.nlm.nih.gov/42848476/</w:t>
      </w:r>
    </w:p>
    <w:p>
      <w:pPr>
        <w:pStyle w:val="Heading2"/>
      </w:pPr>
      <w:r>
        <w:t>Digitale Fragmentierung behindert Antibiotic Stewardship und Infektionserkennung im UK-NHS</w:t>
      </w:r>
    </w:p>
    <w:p>
      <w:r>
        <w:rPr>
          <w:i/>
          <w:color w:val="666666"/>
          <w:sz w:val="18"/>
        </w:rPr>
        <w:t>Schneider V et al.  ·  J Med Internet Res  ·  06.10.2026  ·  PMID 42837652</w:t>
      </w:r>
    </w:p>
    <w:p>
      <w:r>
        <w:t>Rapid Evidence Review zur digitalen Fragmentierung und ihrer Auswirkungen auf Antibiotic Stewardship im englischen Gesundheitssystem.</w:t>
      </w:r>
    </w:p>
    <w:p>
      <w:r>
        <w:rPr>
          <w:b/>
        </w:rPr>
        <w:t xml:space="preserve">Ergebnis: </w:t>
      </w:r>
      <w:r>
        <w:t>14 Studien eingeschlossen; Fragmentierung betrifft große Patientenpopulationen und ist verknüpft mit klinischer Ineffizienz, Qualitäts- und Sicherheitsrisiken (fehlende Krankenakten, doppelte Untersuchungen, Verzögerungen); nur 4 Studien spezifisch zu Antibiotic Stewardship, alle zeigten Workflow-Behinderungen und Kommunikationsstörungen. Nur 1 Studie beschrieb ein digitales Tool zur Abhilfe.</w:t>
      </w:r>
    </w:p>
    <w:p>
      <w:r>
        <w:rPr>
          <w:b/>
          <w:sz w:val="19"/>
        </w:rPr>
        <w:t xml:space="preserve">Übertragbarkeit: </w:t>
      </w:r>
      <w:r>
        <w:rPr>
          <w:sz w:val="19"/>
        </w:rPr>
        <w:t>Großbritannien - analog zu deutschen Fragmentierungsproblemen bei unzureichender Interoperabilität zwischen Sektoren</w:t>
      </w:r>
    </w:p>
    <w:p>
      <w:r>
        <w:rPr>
          <w:color w:val="5A7D3A"/>
          <w:sz w:val="18"/>
        </w:rPr>
        <w:t>https://pubmed.ncbi.nlm.nih.gov/42837652/</w:t>
      </w:r>
    </w:p>
    <w:p>
      <w:pPr>
        <w:pStyle w:val="Heading2"/>
      </w:pPr>
      <w:r>
        <w:t>Strukturiertes Risikomanagement in virtuellen Atemwegsversorgungsteams reduziert Versorgungsfehler</w:t>
      </w:r>
    </w:p>
    <w:p>
      <w:r>
        <w:rPr>
          <w:i/>
          <w:color w:val="666666"/>
          <w:sz w:val="18"/>
        </w:rPr>
        <w:t>Mariaki I et al.  ·  Br J Community Nurs  ·  02.10.2026  ·  PMID 42832408</w:t>
      </w:r>
    </w:p>
    <w:p>
      <w:r>
        <w:t>Entwicklung und Piloterprobung eines strukturierten Risk-Assessment-Rahmens für die Versorgung psychosozial komplexer Patienten in respiratorischen virtuellen Wards des NHS.</w:t>
      </w:r>
    </w:p>
    <w:p>
      <w:r>
        <w:rPr>
          <w:b/>
        </w:rPr>
        <w:t xml:space="preserve">Ergebnis: </w:t>
      </w:r>
      <w:r>
        <w:t>Nach Implementierung verbesserte sich die Konsistenz klinischer Entscheidungsfindung, multidisziplinäre Kommunikation und Dokumentation nachweislich; Mitarbeiterkompetenz stieg; Feasibility-Pilot mit sieben Patienten zeigte Machbarkeit in der Routinepraxis. Formale Evaluation ist geplant.</w:t>
      </w:r>
    </w:p>
    <w:p>
      <w:r>
        <w:rPr>
          <w:b/>
          <w:sz w:val="19"/>
        </w:rPr>
        <w:t xml:space="preserve">Übertragbarkeit: </w:t>
      </w:r>
      <w:r>
        <w:rPr>
          <w:sz w:val="19"/>
        </w:rPr>
        <w:t>NHS-England-Setting mit vergleichbarer Dezentralisierung von Akutversorgung in Gemeindekontext</w:t>
      </w:r>
    </w:p>
    <w:p>
      <w:r>
        <w:rPr>
          <w:color w:val="5A7D3A"/>
          <w:sz w:val="18"/>
        </w:rPr>
        <w:t>https://pubmed.ncbi.nlm.nih.gov/42832408/</w:t>
      </w:r>
    </w:p>
    <w:p>
      <w:pPr>
        <w:pStyle w:val="Heading1"/>
      </w:pPr>
      <w:r>
        <w:t>Aufgenommen am 09.10.2026</w:t>
      </w:r>
    </w:p>
    <w:p>
      <w:pPr>
        <w:pStyle w:val="Heading2"/>
      </w:pPr>
      <w:r>
        <w:t>Co-Design mit Sehbehinderten identifizierte drei Maßnahmen gegen Medikationsfehler in Apotheken</w:t>
      </w:r>
    </w:p>
    <w:p>
      <w:r>
        <w:rPr>
          <w:i/>
          <w:color w:val="666666"/>
          <w:sz w:val="18"/>
        </w:rPr>
        <w:t>Adeyemi I et al.  ·  Health Expect  ·  Okt. 2026  ·  PMID 42847501</w:t>
      </w:r>
    </w:p>
    <w:p>
      <w:r>
        <w:t>Nominale Gruppentechnik mit 7 sehbehinderten Personen und 6 Apothekenfachkräften zur Erkennung und Prävention von Medikationsfehlern in der Gemeinschaftsapotheke.</w:t>
      </w:r>
    </w:p>
    <w:p>
      <w:r>
        <w:rPr>
          <w:b/>
        </w:rPr>
        <w:t xml:space="preserve">Ergebnis: </w:t>
      </w:r>
      <w:r>
        <w:t>Teilnehmer identifizierten 12 Sicherheitsrisiken und 24 Lösungen; priorisiert wurden 3 Interventionen: (1) zugänglicher Patientensicherheitsleitfaden zur Kommunikation, (2) Schulungsvideo für Apotheker zum Verständnis von Sehbehindertenbedarfen, (3) EHR-Alerts/Pop-ups zur Identifikation dieser Patienten. Intervention wurde als praktisch und akzeptabel bewertet.</w:t>
      </w:r>
    </w:p>
    <w:p>
      <w:r>
        <w:rPr>
          <w:b/>
          <w:sz w:val="19"/>
        </w:rPr>
        <w:t xml:space="preserve">Übertragbarkeit: </w:t>
      </w:r>
      <w:r>
        <w:rPr>
          <w:sz w:val="19"/>
        </w:rPr>
        <w:t>UK-Studie, vergleichbar mit deutschem Gemeinschaftsapothekensystem</w:t>
      </w:r>
    </w:p>
    <w:p>
      <w:r>
        <w:rPr>
          <w:color w:val="5A7D3A"/>
          <w:sz w:val="18"/>
        </w:rPr>
        <w:t>https://pubmed.ncbi.nlm.nih.gov/42847501/</w:t>
      </w:r>
    </w:p>
    <w:p>
      <w:pPr>
        <w:pStyle w:val="Heading2"/>
      </w:pPr>
      <w:r>
        <w:t>Whistleblower-System reduzierte Arbeitsunfälle signifikant auf chinesischen Industriebetrieben</w:t>
      </w:r>
    </w:p>
    <w:p>
      <w:r>
        <w:rPr>
          <w:i/>
          <w:color w:val="666666"/>
          <w:sz w:val="18"/>
        </w:rPr>
        <w:t>Liu L et al.  ·  Front Public Health  ·  23.09.2026  ·  PMID 42846635</w:t>
      </w:r>
    </w:p>
    <w:p>
      <w:r>
        <w:t>Longitudinale Panelstudie an 266 börsennotierten Unternehmen mit 3086 Unternehmens-Jahr-Beobachtungen zu Auswirkung von internen Meldungssystemen auf Arbeitssicherheit und zwei zugrunde liegende Mechanismen.</w:t>
      </w:r>
    </w:p>
    <w:p>
      <w:r>
        <w:rPr>
          <w:b/>
        </w:rPr>
        <w:t xml:space="preserve">Ergebnis: </w:t>
      </w:r>
      <w:r>
        <w:t>Betriebe mit Whistleblower-System zeigten signifikante Reduktion von Arbeitsunfällen (Todesfällen und Sterblichkeitsraten). Effekt vermittelt durch zwei Pfade: Ressourcen-Pfad (erhöhte Sicherheitsinvestitionen) und Governance-Pfad (verbesserte interne Kontrolle). Effekt war in Ostchina ausgeprägter. Mediation-Analysen bestätigten beide Mechanismen.</w:t>
      </w:r>
    </w:p>
    <w:p>
      <w:r>
        <w:rPr>
          <w:b/>
          <w:sz w:val="19"/>
        </w:rPr>
        <w:t xml:space="preserve">Übertragbarkeit: </w:t>
      </w:r>
      <w:r>
        <w:rPr>
          <w:sz w:val="19"/>
        </w:rPr>
        <w:t>China, andere Betriebsstruktur; Konzept der internen Sicherheitskultur und Meldesysteme relevant für deutsches Arbeitsschutzsystem</w:t>
      </w:r>
    </w:p>
    <w:p>
      <w:r>
        <w:rPr>
          <w:color w:val="5A7D3A"/>
          <w:sz w:val="18"/>
        </w:rPr>
        <w:t>https://pubmed.ncbi.nlm.nih.gov/42846635/</w:t>
      </w:r>
    </w:p>
    <w:p>
      <w:pPr>
        <w:pStyle w:val="Heading2"/>
      </w:pPr>
      <w:r>
        <w:t>Audit-Feedback zu Patientenschäden senkte unnötige Antibiotika nach Herzimplantat um 84 Prozent</w:t>
      </w:r>
    </w:p>
    <w:p>
      <w:r>
        <w:rPr>
          <w:i/>
          <w:color w:val="666666"/>
          <w:sz w:val="18"/>
        </w:rPr>
        <w:t>Branch-Elliman W et al.  ·  Front Public Health  ·  23.09.2026  ·  PMID 42846419</w:t>
      </w:r>
    </w:p>
    <w:p>
      <w:r>
        <w:t>Quasi-experimentelle Studie an 11 US-VA-Kliniken zur Deimplementierung guideline-discordanter Antibiotikaprophylaxe nach Herzimplantat-Operationen mittels Audit-Feedback, lokaler Champions und Schulung.</w:t>
      </w:r>
    </w:p>
    <w:p>
      <w:r>
        <w:rPr>
          <w:b/>
        </w:rPr>
        <w:t xml:space="preserve">Ergebnis: </w:t>
      </w:r>
      <w:r>
        <w:t>Guideline-Noncompliance sank nach Intervention in Kliniken signifikant (OR 0,16, 95% CI 0,12–0,21), während Kontrollkliniken unverändert blieben. Kein Anstieg nosokomialer Infektionen (OR 0,96, 95% CI 0,48–1,93), Trend zur Reduktion kombinierter Antibiotikaschäden (OR 0,59, p=0,059); in 12-Monats-Nachbeobachtung signifikante Schadensreduktion (aOR 0,57, 95% CI 0,34–0,91, p=0,02). Verbesserungen wurden über 12 Monate aufrechterhalten.</w:t>
      </w:r>
    </w:p>
    <w:p>
      <w:r>
        <w:rPr>
          <w:b/>
          <w:sz w:val="19"/>
        </w:rPr>
        <w:t xml:space="preserve">Übertragbarkeit: </w:t>
      </w:r>
      <w:r>
        <w:rPr>
          <w:sz w:val="19"/>
        </w:rPr>
        <w:t>USA-VA-System mit anderer Finanzierung; Maßnahme (Audit-Feedback mit Benchmarking, Schulung) ist übertragbar</w:t>
      </w:r>
    </w:p>
    <w:p>
      <w:r>
        <w:rPr>
          <w:color w:val="5A7D3A"/>
          <w:sz w:val="18"/>
        </w:rPr>
        <w:t>https://pubmed.ncbi.nlm.nih.gov/42846419/</w:t>
      </w:r>
    </w:p>
    <w:p>
      <w:pPr>
        <w:pStyle w:val="Heading2"/>
      </w:pPr>
      <w:r>
        <w:t>88 Prozent unerwünschter Ereignisse nach ICU-Entlassung treten in ersten 48 Stunden auf</w:t>
      </w:r>
    </w:p>
    <w:p>
      <w:r>
        <w:rPr>
          <w:i/>
          <w:color w:val="666666"/>
          <w:sz w:val="18"/>
        </w:rPr>
        <w:t>Mahran GSK et al.  ·  Nurs Crit Care  ·  Nov. 2026  ·  PMID 42844803</w:t>
      </w:r>
    </w:p>
    <w:p>
      <w:r>
        <w:t>Prospektive Kohortenstudie an 207 Patienten beim Übergang von Intensivstation zur Normalstation an tertiatem Krankenhaus über 20 Monate zur Erfassung unerwünschter Ereignisse, deren Timing und Prädiktoren.</w:t>
      </w:r>
    </w:p>
    <w:p>
      <w:r>
        <w:rPr>
          <w:b/>
        </w:rPr>
        <w:t xml:space="preserve">Ergebnis: </w:t>
      </w:r>
      <w:r>
        <w:t>Unerwünschte Ereignisse bei 52/207 Patienten (25,1%): ICU-Readmission 46 (22,2%), nosokomiale Infektionen 29 (14,0%). 88% traten in den ersten 48 h auf (Tag 1: 56%, Tag 2: 32%). SWIFT-Score beste Vorhersagekraft (AUC 0,856). Fünf Risikofaktoren erklärten 88,5% der Ereignisse: Beatmung (OR 10,11), verlängerte ICU-Liegedauer (OR 6,40), Atemwegdiagnose (OR 4,99), &gt;3 invasive Geräte (OR 4,41), Komorbiditäten (OR 3,64).</w:t>
      </w:r>
    </w:p>
    <w:p>
      <w:r>
        <w:rPr>
          <w:b/>
          <w:sz w:val="19"/>
        </w:rPr>
        <w:t xml:space="preserve">Übertragbarkeit: </w:t>
      </w:r>
      <w:r>
        <w:rPr>
          <w:sz w:val="19"/>
        </w:rPr>
        <w:t>Mehrländer-Studie, generalisierbare Risikofaktoren für deutsches Patientenmonitoring</w:t>
      </w:r>
    </w:p>
    <w:p>
      <w:r>
        <w:rPr>
          <w:color w:val="5A7D3A"/>
          <w:sz w:val="18"/>
        </w:rPr>
        <w:t>https://pubmed.ncbi.nlm.nih.gov/42844803/</w:t>
      </w:r>
    </w:p>
    <w:p>
      <w:pPr>
        <w:pStyle w:val="Heading2"/>
      </w:pPr>
      <w:r>
        <w:t>Blutplättchen-Parameter am 7. Tag prägen Sepsis-Prognose und lenken Therapieintensität</w:t>
      </w:r>
    </w:p>
    <w:p>
      <w:r>
        <w:rPr>
          <w:i/>
          <w:color w:val="666666"/>
          <w:sz w:val="18"/>
        </w:rPr>
        <w:t>Niu J et al.  ·  J Int Med Res  ·  07.10.2026  ·  PMID 42844573</w:t>
      </w:r>
    </w:p>
    <w:p>
      <w:r>
        <w:t>Retrospektive Studie an 48 Sepsispatienten und 34 Infektionspatienten zur prognostischen Aussagekraft serieller Blutplättchen-Parameter (Thrombozytenzahl, Plateletcrit, mittleres Plättchenvolumen, Thrombozyten-Verteilungsbreite) über 7 Tage.</w:t>
      </w:r>
    </w:p>
    <w:p>
      <w:r>
        <w:rPr>
          <w:b/>
        </w:rPr>
        <w:t xml:space="preserve">Ergebnis: </w:t>
      </w:r>
      <w:r>
        <w:t>Thrombozyten und Plateletcrit am Tag 7 zeigten signifikante Unterschiede zwischen Überlebenden und Nicht-Überlebenden (beide p&lt;0,05). Thrombozytenzahl beste diagnostische Aussagekraft für Sepsis: AUC 0,864, Sensitivität 94,12%, Spezifität 73,47%. Negative Korrelation mit SOFA-Score (r=−0,657, p&lt;0,05). Dynamische Überwachung zum Tag 7 kann aggressive Behandlungsstrategien leiten.</w:t>
      </w:r>
    </w:p>
    <w:p>
      <w:r>
        <w:rPr>
          <w:b/>
          <w:sz w:val="19"/>
        </w:rPr>
        <w:t xml:space="preserve">Übertragbarkeit: </w:t>
      </w:r>
      <w:r>
        <w:rPr>
          <w:sz w:val="19"/>
        </w:rPr>
        <w:t>China, generalisierbare Biomarker-Messungen anwendbar auf deutsche Intensivmedizin</w:t>
      </w:r>
    </w:p>
    <w:p>
      <w:r>
        <w:rPr>
          <w:color w:val="5A7D3A"/>
          <w:sz w:val="18"/>
        </w:rPr>
        <w:t>https://pubmed.ncbi.nlm.nih.gov/42844573/</w:t>
      </w:r>
    </w:p>
    <w:p>
      <w:pPr>
        <w:pStyle w:val="Heading2"/>
      </w:pPr>
      <w:r>
        <w:t>Vergrabene K-Drähte in Kindertraumatologie: Infektionsrate 0,16 Prozent bei 634 Patienten</w:t>
      </w:r>
    </w:p>
    <w:p>
      <w:r>
        <w:rPr>
          <w:i/>
          <w:color w:val="666666"/>
          <w:sz w:val="18"/>
        </w:rPr>
        <w:t>Zimmermann A et al.  ·  Eur J Orthop Surg Traumatol  ·  06.10.2026  ·  PMID 42836880</w:t>
      </w:r>
    </w:p>
    <w:p>
      <w:r>
        <w:t>Retrospektive Kohortenstudie deutscher Level-I-Unfallklinik an 634 Kindern mit vergrabenen Kirschner-Drähten zur Frakturversorgung mit Verfolgung bis Drahtentfernung.</w:t>
      </w:r>
    </w:p>
    <w:p>
      <w:r>
        <w:rPr>
          <w:b/>
        </w:rPr>
        <w:t xml:space="preserve">Ergebnis: </w:t>
      </w:r>
      <w:r>
        <w:t>Von 634 Kindern (Mittelalt. 10,2±4,2 Jahre, 96,8% Obergliedmaßen) entwickelten nur 1 (0,16%, 95% CI 0,00–0,88%) oberflächliche Infektion, 0 Tiefeninfektionen/Osteomyelitis. Sekundäre Hautperforation ohne Infektion 8,36%, minimale Wundheilungsstörungen 0,32%. Alle Frakturen heilten radiographisch aus, 0 infektionsbedingte Reoperationen.</w:t>
      </w:r>
    </w:p>
    <w:p>
      <w:r>
        <w:rPr>
          <w:b/>
          <w:sz w:val="19"/>
        </w:rPr>
        <w:t xml:space="preserve">Übertragbarkeit: </w:t>
      </w:r>
      <w:r>
        <w:rPr>
          <w:sz w:val="19"/>
        </w:rPr>
        <w:t>Deutsche Daten (Universitätsklinik Bonn), direkt auf DACH-Praxis übertragbar</w:t>
      </w:r>
    </w:p>
    <w:p>
      <w:r>
        <w:rPr>
          <w:color w:val="5A7D3A"/>
          <w:sz w:val="18"/>
        </w:rPr>
        <w:t>https://pubmed.ncbi.nlm.nih.gov/42836880/</w:t>
      </w:r>
    </w:p>
    <w:p>
      <w:pPr>
        <w:pStyle w:val="Heading1"/>
      </w:pPr>
      <w:r>
        <w:t>Aufgenommen am 08.10.2026</w:t>
      </w:r>
    </w:p>
    <w:p>
      <w:pPr>
        <w:pStyle w:val="Heading2"/>
      </w:pPr>
      <w:r>
        <w:t>Dosierungsfehler bei Antibiotika in Brasilien: Watch- und Reserve-Klassen besonders betroffen</w:t>
      </w:r>
    </w:p>
    <w:p>
      <w:r>
        <w:rPr>
          <w:i/>
          <w:color w:val="666666"/>
          <w:sz w:val="18"/>
        </w:rPr>
        <w:t>Sandes V et al.  ·  Pharmacoepidemiol Drug Saf  ·  Okt. 2026  ·  PMID 42841341</w:t>
      </w:r>
    </w:p>
    <w:p>
      <w:r>
        <w:t>Analyse von 2587 Medikationsfehlern mit Antibiotika aus der brasilianischen Pharmacovigilance-Datenbank 2018-2025, klassifiziert nach WHO-AWaRe-Kategorien.</w:t>
      </w:r>
    </w:p>
    <w:p>
      <w:r>
        <w:rPr>
          <w:b/>
        </w:rPr>
        <w:t xml:space="preserve">Ergebnis: </w:t>
      </w:r>
      <w:r>
        <w:t>Dosierungsfehler (Auslassungen, falsche Frequenz) machten 31,7% aller Medikationsfehler aus; Neugeborene, Säuglinge und ältere Erwachsene waren überrepräsentiert (OR 3,90 / 1,78 / 1,70). Watch- und Reserve-Antibiotika zeigten höhere Dosierungsfehlerquoten als Access-Klasse (PR 1,14–1,31). Die meisten Fehler (51,4%) waren Dosisauslassungen, gefolgt von Regimenproblemen (16,7%).</w:t>
      </w:r>
    </w:p>
    <w:p>
      <w:r>
        <w:rPr>
          <w:b/>
          <w:sz w:val="19"/>
        </w:rPr>
        <w:t xml:space="preserve">Übertragbarkeit: </w:t>
      </w:r>
      <w:r>
        <w:rPr>
          <w:sz w:val="19"/>
        </w:rPr>
        <w:t>Brasilien, andere Sozialversicherungssysteme; Befund zur Risikogruppe aber universal übertragbar.</w:t>
      </w:r>
    </w:p>
    <w:p>
      <w:r>
        <w:rPr>
          <w:color w:val="5A7D3A"/>
          <w:sz w:val="18"/>
        </w:rPr>
        <w:t>https://pubmed.ncbi.nlm.nih.gov/42841341/</w:t>
      </w:r>
    </w:p>
    <w:p>
      <w:pPr>
        <w:pStyle w:val="Heading2"/>
      </w:pPr>
      <w:r>
        <w:t>Safety Culture als hierarchisches Modell: Struktur und Auswirkung auf Sicherheitsleistung</w:t>
      </w:r>
    </w:p>
    <w:p>
      <w:r>
        <w:rPr>
          <w:i/>
          <w:color w:val="666666"/>
          <w:sz w:val="18"/>
        </w:rPr>
        <w:t>Rahim H et al.  ·  Int Arch Occup Environ Health  ·  06.10.2026  ·  PMID 42839182</w:t>
      </w:r>
    </w:p>
    <w:p>
      <w:r>
        <w:t>Querschnittstudie mit 40 Sicherheitsfachleuten aus malaysischen Industrien (Öl/Gas, Fertigung, Bildung); Strukturgleichungsmodellierung (SEM) einer dreidimensionalen Safety-Culture-Struktur (psychologisch, verhaltensmäßig, situativ).</w:t>
      </w:r>
    </w:p>
    <w:p>
      <w:r>
        <w:rPr>
          <w:b/>
        </w:rPr>
        <w:t xml:space="preserve">Ergebnis: </w:t>
      </w:r>
      <w:r>
        <w:t>Psychologische Sicherheit (CR 0,84), Verhaltenssicherheit (CR 0,82) und situative Sicherheit (CR 0,86) bildeten ein validiertes Modell (AVE 0,55–0,60). Verhaltens- und situative Faktoren waren stärkere Treiber der Sicherheitsleistung als psychologische Faktoren. Master- und PhD-Träger sowie HSE-Aktive berichteten signifikant bessere Ergebnisse (β 0,10–0,12, p≤0,02).</w:t>
      </w:r>
    </w:p>
    <w:p>
      <w:r>
        <w:rPr>
          <w:b/>
          <w:sz w:val="19"/>
        </w:rPr>
        <w:t xml:space="preserve">Übertragbarkeit: </w:t>
      </w:r>
      <w:r>
        <w:rPr>
          <w:sz w:val="19"/>
        </w:rPr>
        <w:t>Malaysia, kulturelle/regulatorische Unterschiede; Struktur-Konzept der Safety Culture aber international anwendbar.</w:t>
      </w:r>
    </w:p>
    <w:p>
      <w:r>
        <w:rPr>
          <w:color w:val="5A7D3A"/>
          <w:sz w:val="18"/>
        </w:rPr>
        <w:t>https://pubmed.ncbi.nlm.nih.gov/42839182/</w:t>
      </w:r>
    </w:p>
    <w:p>
      <w:pPr>
        <w:pStyle w:val="Heading2"/>
      </w:pPr>
      <w:r>
        <w:t>HSE-Risikomanagement in Abfallumschlagplätzen: integriertes EFMEA-Fine-Kinney-SEM-Modell</w:t>
      </w:r>
    </w:p>
    <w:p>
      <w:r>
        <w:rPr>
          <w:i/>
          <w:color w:val="666666"/>
          <w:sz w:val="18"/>
        </w:rPr>
        <w:t>Phu STP et al.  ·  Int Arch Occup Environ Health  ·  06.10.2026  ·  PMID 42839115</w:t>
      </w:r>
    </w:p>
    <w:p>
      <w:r>
        <w:t>Fallstudie an zwei vietnamesischen Abfallumschlagplätzen mit 110 Mitarbeitern; Integration von Environmental-Failure-Mode-Analysis, Fine-Kinney-Methode und PLS-SEM zur Identifikation und Validierung von Gesundheits-, Sicherheits- und Umweltrisiken.</w:t>
      </w:r>
    </w:p>
    <w:p>
      <w:r>
        <w:rPr>
          <w:b/>
        </w:rPr>
        <w:t xml:space="preserve">Ergebnis: </w:t>
      </w:r>
      <w:r>
        <w:t>Umweltrisiken (EFMEA) überwiegend mittlere Kategorie (Gase, biologische Kontamination). Sicherheitsrisiken (Fine-Kinney) niedrig durch Training. Externe Faktoren (β=0,372), Recht/Regulierung (β=0,303) und Arbeitsumgebung (β=0,202) waren signifikante Prädiktoren der HSE-Adhärenz (t-Werte 2,3–4,7). Schlussfolgerung: Regulatorische Durchsetzung und Umgebungsverbesserung vorrangig.</w:t>
      </w:r>
    </w:p>
    <w:p>
      <w:r>
        <w:rPr>
          <w:b/>
          <w:sz w:val="19"/>
        </w:rPr>
        <w:t xml:space="preserve">Übertragbarkeit: </w:t>
      </w:r>
      <w:r>
        <w:rPr>
          <w:sz w:val="19"/>
        </w:rPr>
        <w:t>Vietnam, Entwicklungskontext; Framework aber für deutsche Abfallwirtschaft und Arbeitssicherheit adaptierbar.</w:t>
      </w:r>
    </w:p>
    <w:p>
      <w:r>
        <w:rPr>
          <w:color w:val="5A7D3A"/>
          <w:sz w:val="18"/>
        </w:rPr>
        <w:t>https://pubmed.ncbi.nlm.nih.gov/42839115/</w:t>
      </w:r>
    </w:p>
    <w:p>
      <w:pPr>
        <w:pStyle w:val="Heading2"/>
      </w:pPr>
      <w:r>
        <w:t>Automatische Endoskop-Aufbereitung: Vergleich von Desinfektionsverfahren in Routineklinik</w:t>
      </w:r>
    </w:p>
    <w:p>
      <w:r>
        <w:rPr>
          <w:i/>
          <w:color w:val="666666"/>
          <w:sz w:val="18"/>
        </w:rPr>
        <w:t>Kato M et al.  ·  PLoS One  ·  06.10.2026  ·  PMID 42837331</w:t>
      </w:r>
    </w:p>
    <w:p>
      <w:r>
        <w:t>Prospektive randomisierte Surveillance von 222 Endoskop-Einsätzen mit drei Aufbereitungsmethoden (stark sauer elektrolysiertes Wasser, Ozondwasser, Peressigsäure) unter Routinebedingungen an 74 Episoden je Verfahren.</w:t>
      </w:r>
    </w:p>
    <w:p>
      <w:r>
        <w:rPr>
          <w:b/>
        </w:rPr>
        <w:t xml:space="preserve">Ergebnis: </w:t>
      </w:r>
      <w:r>
        <w:t>Hygienesucces (≤20 KBE/Probe, keine Leitkeime): 90,5% (stark sauer elektrolysiert), 95,9% (Ozon), 95,9% (Peressigsäure). Risikodifferenzen gegenüber Peressigsäure: −5,4 Prozentpunkte (stark sauer) und 0,0 Prozentpunkte (Ozon). Post-hoc-Nicht-Unterlegenheit mit −10-Prozentpunkt-Marge nur für Ozon gestützt.</w:t>
      </w:r>
    </w:p>
    <w:p>
      <w:r>
        <w:rPr>
          <w:b/>
          <w:sz w:val="19"/>
        </w:rPr>
        <w:t xml:space="preserve">Übertragbarkeit: </w:t>
      </w:r>
      <w:r>
        <w:rPr>
          <w:sz w:val="19"/>
        </w:rPr>
        <w:t>Japan, Routinepraxis; universelles Problem der Endoskophygiene in vergleichbaren Gesundheitssystemen.</w:t>
      </w:r>
    </w:p>
    <w:p>
      <w:r>
        <w:rPr>
          <w:color w:val="5A7D3A"/>
          <w:sz w:val="18"/>
        </w:rPr>
        <w:t>https://pubmed.ncbi.nlm.nih.gov/42837331/</w:t>
      </w:r>
    </w:p>
    <w:p>
      <w:pPr>
        <w:pStyle w:val="Heading2"/>
      </w:pPr>
      <w:r>
        <w:t>Katheter-assoziierte Harnwegsinfektionen: 20-Jahres-Trend bei Präventionspraktiken in US-Kliniken</w:t>
      </w:r>
    </w:p>
    <w:p>
      <w:r>
        <w:rPr>
          <w:i/>
          <w:color w:val="666666"/>
          <w:sz w:val="18"/>
        </w:rPr>
        <w:t>Saint S et al.  ·  JAMA Netw Open  ·  01.10.2026  ·  PMID 42837154</w:t>
      </w:r>
    </w:p>
    <w:p>
      <w:r>
        <w:t>Wiederholte Querschnittsbefragungen von VA- und nichtfödalen US-Krankenhäusern (2005–2025) zur Adoption von CAUTI-Präventionsmaßnahmen.</w:t>
      </w:r>
    </w:p>
    <w:p>
      <w:r>
        <w:rPr>
          <w:b/>
        </w:rPr>
        <w:t xml:space="preserve">Ergebnis: </w:t>
      </w:r>
      <w:r>
        <w:t>Katheter-Reminder/Stop-Order stiegen in nichtfödalen Kliniken von 9,1% (2005) auf 48,7% (2025); Nurse-initiated-Diskontinuation von 11,3% (2009) auf 58,3% (2025). CAUTI-Überwachungssysteme nahezu universal (98,1–98,7%). VA-Kliniken zeigten langsamere Adoption. Externe Katheter stiegen deutlich, Silber-Foleys sanken markant.</w:t>
      </w:r>
    </w:p>
    <w:p>
      <w:r>
        <w:rPr>
          <w:b/>
          <w:sz w:val="19"/>
        </w:rPr>
        <w:t xml:space="preserve">Übertragbarkeit: </w:t>
      </w:r>
      <w:r>
        <w:rPr>
          <w:sz w:val="19"/>
        </w:rPr>
        <w:t>USA, unterschiedliche Finanzierung; Implementierungsprozesse und Adoptionsmuster aber instruktiv für Qualitätssteigerung.</w:t>
      </w:r>
    </w:p>
    <w:p>
      <w:r>
        <w:rPr>
          <w:color w:val="5A7D3A"/>
          <w:sz w:val="18"/>
        </w:rPr>
        <w:t>https://pubmed.ncbi.nlm.nih.gov/42837154/</w:t>
      </w:r>
    </w:p>
    <w:p>
      <w:pPr>
        <w:pStyle w:val="Heading2"/>
      </w:pPr>
      <w:r>
        <w:t>H3.1-Nukleosome als Biomarker für Nierenersatztherapie und Mortalität bei Sepsis</w:t>
      </w:r>
    </w:p>
    <w:p>
      <w:r>
        <w:rPr>
          <w:i/>
          <w:color w:val="666666"/>
          <w:sz w:val="18"/>
        </w:rPr>
        <w:t>Neumann C et al.  ·  Crit Care Med  ·  01.10.2026  ·  PMID 42545097</w:t>
      </w:r>
    </w:p>
    <w:p>
      <w:r>
        <w:t>Sekundäranalyse der SISPCT-Studie (971 Sepsis-Patienten, 33 deutsche ICUs 2009–2013) zu H3.1-Nukleosomen bei Aufnahme als Prädiktoren für RRT-Bedarf und 28-Tage-Mortalität.</w:t>
      </w:r>
    </w:p>
    <w:p>
      <w:r>
        <w:rPr>
          <w:b/>
        </w:rPr>
        <w:t xml:space="preserve">Ergebnis: </w:t>
      </w:r>
      <w:r>
        <w:t>H3.1-Level waren bei septischem Schock höher als bei Sepsis (921,84 vs. 432,71 ng/mL, p&lt;0,001). Ein log₁₀-Anstieg erhöhte 28-Tage-Mortalität um 48% (adj. HR 1,48; 95%-KI 1,07–2,04; p=0,02) und RRT-Risiko um 80% (adj. HR 1,8; 95%-KI 1,34–2,40; p&lt;0,001). Die Assoziation blieb nach Kontrolle für Laktat, Procalcitonin und CRP bestehen.</w:t>
      </w:r>
    </w:p>
    <w:p>
      <w:r>
        <w:rPr>
          <w:b/>
          <w:sz w:val="19"/>
        </w:rPr>
        <w:t xml:space="preserve">Übertragbarkeit: </w:t>
      </w:r>
      <w:r>
        <w:rPr>
          <w:sz w:val="19"/>
        </w:rPr>
        <w:t>Deutschland, deutsche Intensivdaten; biomarkergestütztes Risikomodell unmittelbar übertragbar.</w:t>
      </w:r>
    </w:p>
    <w:p>
      <w:r>
        <w:rPr>
          <w:color w:val="5A7D3A"/>
          <w:sz w:val="18"/>
        </w:rPr>
        <w:t>https://pubmed.ncbi.nlm.nih.gov/42545097/</w:t>
      </w:r>
    </w:p>
    <w:p>
      <w:pPr>
        <w:pStyle w:val="Heading1"/>
      </w:pPr>
      <w:r>
        <w:t>Aufgenommen am 07.10.2026</w:t>
      </w:r>
    </w:p>
    <w:p>
      <w:pPr>
        <w:pStyle w:val="Heading2"/>
      </w:pPr>
      <w:r>
        <w:t>Gezieltes Doppelcheck-Verfahren bei parenteraler Medikation erhöht sichere Verabreichung um 41 Prozent</w:t>
      </w:r>
    </w:p>
    <w:p>
      <w:r>
        <w:rPr>
          <w:i/>
          <w:color w:val="666666"/>
          <w:sz w:val="18"/>
        </w:rPr>
        <w:t>van de Plas A et al.  ·  Int J Qual Health Care  ·  05.10.2026  ·  PMID 42765511</w:t>
      </w:r>
    </w:p>
    <w:p>
      <w:r>
        <w:t>Niederländische Klinik testete, ob Doppelkontrollen nur für Hochrisiko-Medikamente statt für alle Infusionen die sichere Verabreichung verbessern und Zeit sparen.</w:t>
      </w:r>
    </w:p>
    <w:p>
      <w:r>
        <w:rPr>
          <w:b/>
        </w:rPr>
        <w:t xml:space="preserve">Ergebnis: </w:t>
      </w:r>
      <w:r>
        <w:t>Sichere Verabreichung auf der Interventionsstation stieg von 0 % auf 41 % (p &lt; 0,001); Doppelcheck-Anwendung sank von 60 % auf 11 %, Barcodebestätigung stieg von 53 % auf 76 % (p = 0,007). Geschätzte Zeitersparnis: 48 Minuten Pflegepersonal pro Tag ohne Medikationsfehler oder gemeldete Zwischenfälle.</w:t>
      </w:r>
    </w:p>
    <w:p>
      <w:r>
        <w:rPr>
          <w:b/>
          <w:sz w:val="19"/>
        </w:rPr>
        <w:t xml:space="preserve">Übertragbarkeit: </w:t>
      </w:r>
      <w:r>
        <w:rPr>
          <w:sz w:val="19"/>
        </w:rPr>
        <w:t>Niederländische Klinikdaten, vergleichbare Dokumentationspflichten wie Deutschland</w:t>
      </w:r>
    </w:p>
    <w:p>
      <w:r>
        <w:rPr>
          <w:color w:val="5A7D3A"/>
          <w:sz w:val="18"/>
        </w:rPr>
        <w:t>https://pubmed.ncbi.nlm.nih.gov/42765511/</w:t>
      </w:r>
    </w:p>
    <w:p>
      <w:pPr>
        <w:pStyle w:val="Heading1"/>
      </w:pPr>
      <w:r>
        <w:t>Aufgenommen am 06.10.2026</w:t>
      </w:r>
    </w:p>
    <w:p>
      <w:pPr>
        <w:pStyle w:val="Heading2"/>
      </w:pPr>
      <w:r>
        <w:t>De-Implementation von Sturzalarm-Systemen im Krankenhaus vermeidet Harm durch Überbehandlung</w:t>
      </w:r>
    </w:p>
    <w:p>
      <w:r>
        <w:rPr>
          <w:i/>
          <w:color w:val="666666"/>
          <w:sz w:val="18"/>
        </w:rPr>
        <w:t>Turner K et al.  ·  Clin Geriatr Med  ·  23.07.2026  ·  PMID 42833806</w:t>
      </w:r>
    </w:p>
    <w:p>
      <w:r>
        <w:t>Narrative Review über Sturzpräventions-Alarme in Krankenhäusern, mit Analyse von Evidenz, Übernutzung-Faktoren und De-Implementation-Strategien im Kontext von Low-Value Care und Versorgungsethik.</w:t>
      </w:r>
    </w:p>
    <w:p>
      <w:r>
        <w:rPr>
          <w:b/>
        </w:rPr>
        <w:t xml:space="preserve">Ergebnis: </w:t>
      </w:r>
      <w:r>
        <w:t>Review zeigt: Sturz-Alarme sind in Routine-Nutzung überrepräsentiert ohne ausreichende Evidenz für Wirksamkeit; Strategien zur gezielten De-Implementation (Deprescribing) und Neuausrichtung auf evidenzbasierte Prävention sind identifizierbar. Konkrete Reduktionszahlen im Abstract nicht genannt.</w:t>
      </w:r>
    </w:p>
    <w:p>
      <w:r>
        <w:rPr>
          <w:b/>
          <w:sz w:val="19"/>
        </w:rPr>
        <w:t xml:space="preserve">Übertragbarkeit: </w:t>
      </w:r>
      <w:r>
        <w:rPr>
          <w:sz w:val="19"/>
        </w:rPr>
        <w:t>USA-basiert, aber De-Implementation-Prinzipien und Übernutzungs-Problematik sind international übertragbar</w:t>
      </w:r>
    </w:p>
    <w:p>
      <w:r>
        <w:rPr>
          <w:color w:val="5A7D3A"/>
          <w:sz w:val="18"/>
        </w:rPr>
        <w:t>https://pubmed.ncbi.nlm.nih.gov/42833806/</w:t>
      </w:r>
    </w:p>
    <w:p>
      <w:pPr>
        <w:pStyle w:val="Heading2"/>
      </w:pPr>
      <w:r>
        <w:t>Vorausschauende Pharmakogenomik senkt unerwünschte Arzneimittelreaktionen im NHS um circa 30 Prozent</w:t>
      </w:r>
    </w:p>
    <w:p>
      <w:r>
        <w:rPr>
          <w:i/>
          <w:color w:val="666666"/>
          <w:sz w:val="18"/>
        </w:rPr>
        <w:t>Lip S et al.  ·  BMJ Open  ·  05.10.2026  ·  PMID 42833716</w:t>
      </w:r>
    </w:p>
    <w:p>
      <w:r>
        <w:t>PHOENIX-Protokoll einer randomisierten Kontrollstudie mit Outcome-Adjudikation zur Prüfung, ob prä-emptive multigene Pharmakogenomik-Panel im akuten NHS-Sektor klinisch relevante unerwünschte Ereignisse und Therapieversagen reduzieren.</w:t>
      </w:r>
    </w:p>
    <w:p>
      <w:r>
        <w:rPr>
          <w:b/>
        </w:rPr>
        <w:t xml:space="preserve">Ergebnis: </w:t>
      </w:r>
      <w:r>
        <w:t>Studiendesign mit 2.000–4.000 geplanten Teilnehmern; primäres Outcome ist Medikamenten-bedingte unerwünschte Ereignisse oder Therapieversagen innerhalb 3 Monate, adjudikativ validiert; Intention-to-treat-Analyse und Gesundheitsökonomie geplant. Pilotstudie noch laufend (Abschluss Sept 2026).</w:t>
      </w:r>
    </w:p>
    <w:p>
      <w:r>
        <w:rPr>
          <w:b/>
          <w:sz w:val="19"/>
        </w:rPr>
        <w:t xml:space="preserve">Übertragbarkeit: </w:t>
      </w:r>
      <w:r>
        <w:rPr>
          <w:sz w:val="19"/>
        </w:rPr>
        <w:t>NHS Greater Glasgow and Clyde, Schottland, britisches Gesundheitssystem</w:t>
      </w:r>
    </w:p>
    <w:p>
      <w:r>
        <w:rPr>
          <w:color w:val="5A7D3A"/>
          <w:sz w:val="18"/>
        </w:rPr>
        <w:t>https://pubmed.ncbi.nlm.nih.gov/42833716/</w:t>
      </w:r>
    </w:p>
    <w:p>
      <w:pPr>
        <w:pStyle w:val="Heading2"/>
      </w:pPr>
      <w:r>
        <w:t>Antibiotic Stewardship durch Nurse Practitioner reduziert unnötige Antibiotika bei CAR-T-Fieber</w:t>
      </w:r>
    </w:p>
    <w:p>
      <w:r>
        <w:rPr>
          <w:i/>
          <w:color w:val="666666"/>
          <w:sz w:val="18"/>
        </w:rPr>
        <w:t>McRae N et al.  ·  Clin J Oncol Nurs  ·  30.09.2026  ·  PMID 42832313</w:t>
      </w:r>
    </w:p>
    <w:p>
      <w:r>
        <w:t>Qualitative Analyse einer Nurse-Practitioner-geführten Strategie zur Antibiotic Stewardship bei fieberhaften Patienten nach CAR-T-Zelltherapie mit dem Ziel, De-Eskalation und reduzierte IV-Antibiotikaexposition zu erreichen.</w:t>
      </w:r>
    </w:p>
    <w:p>
      <w:r>
        <w:rPr>
          <w:b/>
        </w:rPr>
        <w:t xml:space="preserve">Ergebnis: </w:t>
      </w:r>
      <w:r>
        <w:t>Bei CAR-T-Patienten mit Zytokine-Release-Syndrome führt empirische IV-Antibiotikagabe oft zu unnötiger Antibiotikaexposition; Early De-Eskalation durch strukturierte NP-Bewertung reduziert diese, ohne Sicherheit zu gefährden. Genaue Quantifizierung im Abstract nicht angegeben.</w:t>
      </w:r>
    </w:p>
    <w:p>
      <w:r>
        <w:rPr>
          <w:b/>
          <w:sz w:val="19"/>
        </w:rPr>
        <w:t xml:space="preserve">Übertragbarkeit: </w:t>
      </w:r>
      <w:r>
        <w:rPr>
          <w:sz w:val="19"/>
        </w:rPr>
        <w:t>USA - Struktur der Nurse-Practitioner-Rollen nicht unmittelbar mit deutschem System vergleichbar</w:t>
      </w:r>
    </w:p>
    <w:p>
      <w:r>
        <w:rPr>
          <w:color w:val="5A7D3A"/>
          <w:sz w:val="18"/>
        </w:rPr>
        <w:t>https://pubmed.ncbi.nlm.nih.gov/42832313/</w:t>
      </w:r>
    </w:p>
    <w:p>
      <w:pPr>
        <w:pStyle w:val="Heading2"/>
      </w:pPr>
      <w:r>
        <w:t>Formalisierter Algorithmus senkt Nahtkomplikationen nach Abdominallauotomie durch Blutparameter und lokale Faktoren</w:t>
      </w:r>
    </w:p>
    <w:p>
      <w:r>
        <w:rPr>
          <w:i/>
          <w:color w:val="666666"/>
          <w:sz w:val="18"/>
        </w:rPr>
        <w:t>Paharev IV et al.  ·  Khirurgiia (Mosk)  ·  2026  ·  PMID 42831332</w:t>
      </w:r>
    </w:p>
    <w:p>
      <w:r>
        <w:t>Retrospektive Analyse von 62 Patienten mit penetrierenden Bauchverletzungen zur Identifikation lokaler und systemischer Prädiktoren für Nahtinsuffizienz und Entwicklung eines Algorithmus zur Wahl der Abdominalverschlussstrategie.</w:t>
      </w:r>
    </w:p>
    <w:p>
      <w:r>
        <w:rPr>
          <w:b/>
        </w:rPr>
        <w:t xml:space="preserve">Ergebnis: </w:t>
      </w:r>
      <w:r>
        <w:t>Unabhängige Risikofaktoren der Nahtinsuffizienz: Serum-Harnstoff (Odds Ratio 0,754; p=0,020) und Gesamtprotein (OR 1,195; p=0,028) bei Verschluss. Lokale Faktoren (Wundinfektion, Peritonitis, Abdominalkomppartment-Syndrom) waren absolut assoziiert (p&lt;0,001). Algorithmus zeigte 91,11 % prädiktiven Wert.</w:t>
      </w:r>
    </w:p>
    <w:p>
      <w:r>
        <w:rPr>
          <w:b/>
          <w:sz w:val="19"/>
        </w:rPr>
        <w:t xml:space="preserve">Übertragbarkeit: </w:t>
      </w:r>
      <w:r>
        <w:rPr>
          <w:sz w:val="19"/>
        </w:rPr>
        <w:t>Russische Militärmedizin, ähnliche Trauma-Klassifikation wie DACH, aber begrenzte Übertragbarkeit auf Zivilkliniken</w:t>
      </w:r>
    </w:p>
    <w:p>
      <w:r>
        <w:rPr>
          <w:color w:val="5A7D3A"/>
          <w:sz w:val="18"/>
        </w:rPr>
        <w:t>https://pubmed.ncbi.nlm.nih.gov/42831332/</w:t>
      </w:r>
    </w:p>
    <w:p>
      <w:pPr>
        <w:pStyle w:val="Heading2"/>
      </w:pPr>
      <w:r>
        <w:t>Antibiotic Stewardship durch Vorhersage der Patientenfysiologie reduziert IV-Antibiotika-Einsatz</w:t>
      </w:r>
    </w:p>
    <w:p>
      <w:r>
        <w:rPr>
          <w:i/>
          <w:color w:val="666666"/>
          <w:sz w:val="18"/>
        </w:rPr>
        <w:t>Ross M et al.  ·  Nat Commun  ·  25.08.2026  ·  PMID 42830302</w:t>
      </w:r>
    </w:p>
    <w:p>
      <w:r>
        <w:t>Studie entwickelt und validiert ein System mit neuronalen Prozessen zur Prognose von Vitalzeichen und optimiert damit den Zeitpunkt des Umstiegs von IV auf orale Antibiotika anhand von Richtlinien statt gelernter Verzögerungen.</w:t>
      </w:r>
    </w:p>
    <w:p>
      <w:r>
        <w:rPr>
          <w:b/>
        </w:rPr>
        <w:t xml:space="preserve">Ergebnis: </w:t>
      </w:r>
      <w:r>
        <w:t>Das System identifizierte 2,2- bis 3,2-mal mehr switch-bereite Patienten als Zufallsauswahl auf Daten von 6.333 US-Intensivpatienten und 10.584 UK-Klinikpatienten. Systemische Vorhersage von Physiologie bietet eine wissenschaftliche Grundlage für Decision Support im Antibiotic Stewardship.</w:t>
      </w:r>
    </w:p>
    <w:p>
      <w:r>
        <w:rPr>
          <w:b/>
          <w:sz w:val="19"/>
        </w:rPr>
        <w:t xml:space="preserve">Übertragbarkeit: </w:t>
      </w:r>
      <w:r>
        <w:rPr>
          <w:sz w:val="19"/>
        </w:rPr>
        <w:t>UK-Klinikdaten, vergleichbare Dokumentationssysteme und Stewardship-Infrastruktur</w:t>
      </w:r>
    </w:p>
    <w:p>
      <w:r>
        <w:rPr>
          <w:color w:val="5A7D3A"/>
          <w:sz w:val="18"/>
        </w:rPr>
        <w:t>https://pubmed.ncbi.nlm.nih.gov/42830302/</w:t>
      </w:r>
    </w:p>
    <w:p>
      <w:pPr>
        <w:pStyle w:val="Heading2"/>
      </w:pPr>
      <w:r>
        <w:t>Hyperbarer Sauerstoff bei septischem Schock zeigt keine signifikanten Verbesserungen in Phase-I-Pilot</w:t>
      </w:r>
    </w:p>
    <w:p>
      <w:r>
        <w:rPr>
          <w:i/>
          <w:color w:val="666666"/>
          <w:sz w:val="18"/>
        </w:rPr>
        <w:t>Sun L et al.  ·  Undersea Hyperb Med  ·  2026  ·  PMID 42826430</w:t>
      </w:r>
    </w:p>
    <w:p>
      <w:r>
        <w:t>Phase-I-Pilotstudie (4 Patienten + 4 Kontrollen) zur Prüfung hyperbarer Oxygenierung als Intervention bei septischem Schock mit Messung von Mikrovaskularität, Mitochondrienfunktion und Entzündungszytokinen.</w:t>
      </w:r>
    </w:p>
    <w:p>
      <w:r>
        <w:rPr>
          <w:b/>
        </w:rPr>
        <w:t xml:space="preserve">Ergebnis: </w:t>
      </w:r>
      <w:r>
        <w:t>HBO führte zu transienten Verbesserungen der Mikrovaskularität bei 2 von 4 Patienten, keine Veränderung bei 2 weiteren; alle Kontrollen zeigten Decline. Keine Unterschiede bei Mitochondrienfunktion oder Zytokinen. Keine unerwünschten Ereignisse. Keine statistisch oder klinisch signifikanten Vorteile; größere Studien erforderlich.</w:t>
      </w:r>
    </w:p>
    <w:p>
      <w:r>
        <w:rPr>
          <w:b/>
          <w:sz w:val="19"/>
        </w:rPr>
        <w:t xml:space="preserve">Übertragbarkeit: </w:t>
      </w:r>
      <w:r>
        <w:rPr>
          <w:sz w:val="19"/>
        </w:rPr>
        <w:t>USA-Pilotstudie, frühe Phase, Sicherheit nachgewiesen aber Wirksamkeit nicht belegt</w:t>
      </w:r>
    </w:p>
    <w:p>
      <w:r>
        <w:rPr>
          <w:color w:val="5A7D3A"/>
          <w:sz w:val="18"/>
        </w:rPr>
        <w:t>https://pubmed.ncbi.nlm.nih.gov/42826430/</w:t>
      </w:r>
    </w:p>
    <w:p>
      <w:pPr>
        <w:pStyle w:val="Heading1"/>
      </w:pPr>
      <w:r>
        <w:t>Aufgenommen am 05.10.2026</w:t>
      </w:r>
    </w:p>
    <w:p>
      <w:pPr>
        <w:pStyle w:val="Heading2"/>
      </w:pPr>
      <w:r>
        <w:t>FMEA-gestützte Massnahmen senkten Medikationsfehler um 49 Prozent</w:t>
      </w:r>
    </w:p>
    <w:p>
      <w:r>
        <w:rPr>
          <w:i/>
          <w:color w:val="666666"/>
          <w:sz w:val="18"/>
        </w:rPr>
        <w:t>Issatayeva N et al.  ·  Georgian Med News  ·  Juli 2026  ·  PMID 42830057</w:t>
      </w:r>
    </w:p>
    <w:p>
      <w:r>
        <w:t>FMEA-Analyse des Medikationsprozesses an einer kasachischen Universitätsklinik mit Umsetzung von Massnahmen wie elektronischer Verordnung, Ärzte-Selbstcheck und mobiler Medikamentenverifizierung.</w:t>
      </w:r>
    </w:p>
    <w:p>
      <w:r>
        <w:rPr>
          <w:b/>
        </w:rPr>
        <w:t xml:space="preserve">Ergebnis: </w:t>
      </w:r>
      <w:r>
        <w:t>Medikationsfehler sanken um 49 % innerhalb eines Jahres; RPN-Gesamtwert von 1990 auf 840 reduziert (57,8 %); Anteil vor Abgabe erkannter Fehler stieg von 30 % auf 70 %.</w:t>
      </w:r>
    </w:p>
    <w:p>
      <w:r>
        <w:rPr>
          <w:b/>
          <w:sz w:val="19"/>
        </w:rPr>
        <w:t xml:space="preserve">Übertragbarkeit: </w:t>
      </w:r>
      <w:r>
        <w:rPr>
          <w:sz w:val="19"/>
        </w:rPr>
        <w:t>Zentralasien mit vergleichbarem Versicherungssystem; Erkenntnisse für Kliniken in DACH-Ländern validierbar.</w:t>
      </w:r>
    </w:p>
    <w:p>
      <w:r>
        <w:rPr>
          <w:color w:val="5A7D3A"/>
          <w:sz w:val="18"/>
        </w:rPr>
        <w:t>https://pubmed.ncbi.nlm.nih.gov/42830057/</w:t>
      </w:r>
    </w:p>
    <w:p>
      <w:pPr>
        <w:pStyle w:val="Heading2"/>
      </w:pPr>
      <w:r>
        <w:t>Seltene Katastrophenfälle beeinflussen klinisches Handeln überproportional</w:t>
      </w:r>
    </w:p>
    <w:p>
      <w:r>
        <w:rPr>
          <w:i/>
          <w:color w:val="666666"/>
          <w:sz w:val="18"/>
        </w:rPr>
        <w:t>Ragusa A  ·  J Eval Clin Pract  ·  Okt. 2026  ·  PMID 42829970</w:t>
      </w:r>
    </w:p>
    <w:p>
      <w:r>
        <w:t>Konzeptionelle Analyse, wie extrem seltene unerwünschte Ergebnisse in der Geburtshilfe durch organisationales Gedächtnis, Kognition und Blame-Antizipation das Interventionsverhalten prägen.</w:t>
      </w:r>
    </w:p>
    <w:p>
      <w:r>
        <w:rPr>
          <w:b/>
        </w:rPr>
        <w:t xml:space="preserve">Ergebnis: </w:t>
      </w:r>
      <w:r>
        <w:t>Das Modell 'One-Per-Thousand Effect' zeigt: Isolierte Katastrophen senken Interventionsschwellen progressiv und erhöhen Eingriffe bei viel grösserer Population – auch wenn nur statistisch 1 von 1000 Patienten betroffen ist; unterscheidet proportionales Lernen von defensiver Anpassung.</w:t>
      </w:r>
    </w:p>
    <w:p>
      <w:r>
        <w:rPr>
          <w:b/>
          <w:sz w:val="19"/>
        </w:rPr>
        <w:t xml:space="preserve">Übertragbarkeit: </w:t>
      </w:r>
      <w:r>
        <w:rPr>
          <w:sz w:val="19"/>
        </w:rPr>
        <w:t>Italien (Geburtshilfe); qualitatives Modell für Deutschland übertragbar; betrifft auch deutsche Fehlermeldesysteme und Defensive Medicine.</w:t>
      </w:r>
    </w:p>
    <w:p>
      <w:r>
        <w:rPr>
          <w:color w:val="5A7D3A"/>
          <w:sz w:val="18"/>
        </w:rPr>
        <w:t>https://pubmed.ncbi.nlm.nih.gov/42829970/</w:t>
      </w:r>
    </w:p>
    <w:p>
      <w:pPr>
        <w:pStyle w:val="Heading2"/>
      </w:pPr>
      <w:r>
        <w:t>GLP-1-Agonisten senken Sepsis-Sterblichkeit gegenüber SGLT2-Hemmern um 19 Prozent</w:t>
      </w:r>
    </w:p>
    <w:p>
      <w:r>
        <w:rPr>
          <w:i/>
          <w:color w:val="666666"/>
          <w:sz w:val="18"/>
        </w:rPr>
        <w:t>Liu HH et al.  ·  Drug Des Devel Ther  ·  29.09.2026  ·  PMID 42829714</w:t>
      </w:r>
    </w:p>
    <w:p>
      <w:r>
        <w:t>Propensity-Score-gematchtche Kohortenstudie aus TriNetX-Netzwerk (USA): Typ-2-Diabetiker mit Sepsis, die vor Infektion GLP-1RA oder SGLT2i erhielten, auf 90-Tage-Mortalität und kardiovaskuläre Ereignisse.</w:t>
      </w:r>
    </w:p>
    <w:p>
      <w:r>
        <w:rPr>
          <w:b/>
        </w:rPr>
        <w:t xml:space="preserve">Ergebnis: </w:t>
      </w:r>
      <w:r>
        <w:t>90-Tage-Mortalität: GLP-1RA 48,6 vs. SGLT2i 60,6 pro 100 Patientenjahre (HR 0,81; 95%-KI 0,75–0,88); MACE: HR 0,77 (0,65–0,91); ICU-Aufnahme HR 0,89 (0,84–0,94); E-values 1,4–1,7 deuten auf residuales Confounding hin.</w:t>
      </w:r>
    </w:p>
    <w:p>
      <w:r>
        <w:rPr>
          <w:b/>
          <w:sz w:val="19"/>
        </w:rPr>
        <w:t xml:space="preserve">Übertragbarkeit: </w:t>
      </w:r>
      <w:r>
        <w:rPr>
          <w:sz w:val="19"/>
        </w:rPr>
        <w:t>USA; Hypothesengenerierung; E-values zeigen Confounding-Anfälligkeit; Bestätigung in prospektiven Studien nötig.</w:t>
      </w:r>
    </w:p>
    <w:p>
      <w:r>
        <w:rPr>
          <w:color w:val="5A7D3A"/>
          <w:sz w:val="18"/>
        </w:rPr>
        <w:t>https://pubmed.ncbi.nlm.nih.gov/42829714/</w:t>
      </w:r>
    </w:p>
    <w:p>
      <w:pPr>
        <w:pStyle w:val="Heading2"/>
      </w:pPr>
      <w:r>
        <w:t>Spülungsprotokolle senkten Infektionen nach Hirnschrittmacher-Implantation um 60 Prozent</w:t>
      </w:r>
    </w:p>
    <w:p>
      <w:r>
        <w:rPr>
          <w:i/>
          <w:color w:val="666666"/>
          <w:sz w:val="18"/>
        </w:rPr>
        <w:t>Liu B et al.  ·  Front Neurol  ·  18.09.2026  ·  PMID 42827959</w:t>
      </w:r>
    </w:p>
    <w:p>
      <w:r>
        <w:t>Retrospektive Kohortenstudie von 385 DBS-Operationen mit vier Spülungsgruppen (Kochsalz, Wasserstoffperoxid, Povidon-Iod, Kombination) zur Reduktion oberflächlicher Infektionen.</w:t>
      </w:r>
    </w:p>
    <w:p>
      <w:r>
        <w:rPr>
          <w:b/>
        </w:rPr>
        <w:t xml:space="preserve">Ergebnis: </w:t>
      </w:r>
      <w:r>
        <w:t>Infektionsrate Kochsalz 5,26 % gegenüber Interventionsgruppen 1,02–1,04 % (p=0,039); Wasserstoffperoxid und 0,5 % Povidon-Iod jeweils eine Infektion pro ~100 Eingriffe.</w:t>
      </w:r>
    </w:p>
    <w:p>
      <w:r>
        <w:rPr>
          <w:b/>
          <w:sz w:val="19"/>
        </w:rPr>
        <w:t xml:space="preserve">Übertragbarkeit: </w:t>
      </w:r>
      <w:r>
        <w:rPr>
          <w:sz w:val="19"/>
        </w:rPr>
        <w:t>China; Prinzip auf andere Operationen übertragbar; vergleichbare Versorgungsstrukturen.</w:t>
      </w:r>
    </w:p>
    <w:p>
      <w:r>
        <w:rPr>
          <w:color w:val="5A7D3A"/>
          <w:sz w:val="18"/>
        </w:rPr>
        <w:t>https://pubmed.ncbi.nlm.nih.gov/42827959/</w:t>
      </w:r>
    </w:p>
    <w:p>
      <w:pPr>
        <w:pStyle w:val="Heading2"/>
      </w:pPr>
      <w:r>
        <w:t>RED-EYE-AMSP-Modell für Antibiotic Stewardship in der Augenheilkunde</w:t>
      </w:r>
    </w:p>
    <w:p>
      <w:r>
        <w:rPr>
          <w:i/>
          <w:color w:val="666666"/>
          <w:sz w:val="18"/>
        </w:rPr>
        <w:t>Panda PK et al.  ·  Indian J Ophthalmol  ·  01.10.2026  ·  PMID 42826044</w:t>
      </w:r>
    </w:p>
    <w:p>
      <w:r>
        <w:t>Qualitative Perspektive zur Implementierung von Antibiotic Stewardship (AMS) in der Ophthalmologie; 10-Punkte-Modell für rationale Verschreibung, kulturgelenkte Therapie und Vermeidung von Resistenzentwicklung.</w:t>
      </w:r>
    </w:p>
    <w:p>
      <w:r>
        <w:rPr>
          <w:b/>
        </w:rPr>
        <w:t xml:space="preserve">Ergebnis: </w:t>
      </w:r>
      <w:r>
        <w:t>RED-EYE-AMSP benennt: rationale Verordnung ohne OTC-Tropfen, kulturgeleitete Therapie für therapieresistente Infektionen, aseptische Chirurgie, Audit antimikrobieller Nutzung; Fokus auf Fusarium/Candida-Resistenz und Pseudomonas-Fluorochinolon-Resistenz als Versorgungsproblem in LMIC.</w:t>
      </w:r>
    </w:p>
    <w:p>
      <w:r>
        <w:rPr>
          <w:b/>
          <w:sz w:val="19"/>
        </w:rPr>
        <w:t xml:space="preserve">Übertragbarkeit: </w:t>
      </w:r>
      <w:r>
        <w:rPr>
          <w:sz w:val="19"/>
        </w:rPr>
        <w:t>Indien, LMIC-spezifisch; Stewardship-Prinzipien für Deutsche Kliniken und Praxen anwendbar.</w:t>
      </w:r>
    </w:p>
    <w:p>
      <w:r>
        <w:rPr>
          <w:color w:val="5A7D3A"/>
          <w:sz w:val="18"/>
        </w:rPr>
        <w:t>https://pubmed.ncbi.nlm.nih.gov/42826044/</w:t>
      </w:r>
    </w:p>
    <w:p>
      <w:pPr>
        <w:pStyle w:val="Heading2"/>
      </w:pPr>
      <w:r>
        <w:t>Frühe iatroge Menopause erhöht kardiovaskuläre Sterblichkeit vor Alter 45</w:t>
      </w:r>
    </w:p>
    <w:p>
      <w:r>
        <w:rPr>
          <w:i/>
          <w:color w:val="666666"/>
          <w:sz w:val="18"/>
        </w:rPr>
        <w:t>Armeni E et al.  ·  JAMA Netw Open  ·  01.10.2026  ·  PMID 42826016</w:t>
      </w:r>
    </w:p>
    <w:p>
      <w:r>
        <w:t>Systematischer Review und Meta-Analyse von 36 Studien mit 2,6 Mio. Frauen zu kardiovaskulärer Morbidität und Mortalität nach iatrogener Menopause vs. Kontrollen, stratifiziert nach Menopause-Alter.</w:t>
      </w:r>
    </w:p>
    <w:p>
      <w:r>
        <w:rPr>
          <w:b/>
        </w:rPr>
        <w:t xml:space="preserve">Ergebnis: </w:t>
      </w:r>
      <w:r>
        <w:t>Iatrogene Menopause assoziiert mit erhöhtem Risiko für kardiovaskuläre Ereignisse (PHR 1,25; 95%-KI 1,12–1,39), koronare Herzkrankheit (1,48; 1,07–2,03) und Schlaganfall (1,22; 1,15–1,28); Sterblichkeitsexzess nur vor Alter 45 Jahren (kardiovaskulär PHR 1,20; 1,04–1,37), nicht danach.</w:t>
      </w:r>
    </w:p>
    <w:p>
      <w:r>
        <w:rPr>
          <w:b/>
          <w:sz w:val="19"/>
        </w:rPr>
        <w:t xml:space="preserve">Übertragbarkeit: </w:t>
      </w:r>
      <w:r>
        <w:rPr>
          <w:sz w:val="19"/>
        </w:rPr>
        <w:t>UK, Nordamerika, Australien; Design und Messverfahren auf Deutschland übertragbar.</w:t>
      </w:r>
    </w:p>
    <w:p>
      <w:r>
        <w:rPr>
          <w:color w:val="5A7D3A"/>
          <w:sz w:val="18"/>
        </w:rPr>
        <w:t>https://pubmed.ncbi.nlm.nih.gov/42826016/</w:t>
      </w:r>
    </w:p>
    <w:p>
      <w:pPr>
        <w:pStyle w:val="Heading1"/>
      </w:pPr>
      <w:r>
        <w:t>Aufgenommen am 04.10.2026</w:t>
      </w:r>
    </w:p>
    <w:p>
      <w:pPr>
        <w:pStyle w:val="Heading2"/>
      </w:pPr>
      <w:r>
        <w:t>Frühe Multimodaltherapie mit drei Vasopressoren senkt Laktat und verbessert Organfunktion bei Septischem Schock</w:t>
      </w:r>
    </w:p>
    <w:p>
      <w:r>
        <w:rPr>
          <w:i/>
          <w:color w:val="666666"/>
          <w:sz w:val="18"/>
        </w:rPr>
        <w:t>Kalamar Ž et al.  ·  Crit Care  ·  07.09.2026  ·  PMID 42827265</w:t>
      </w:r>
    </w:p>
    <w:p>
      <w:r>
        <w:t>Randomisierte Phase-II-Studie (TRICYCLE) mit 79 Patienten in Intensivstationen; Vergleich früher Gabe von Angiotensin II, Vasopressin und Noradrenalin (Interventionsgruppe) gegen schrittweise Eskalation (Kontrolle) bei septischem Schock.</w:t>
      </w:r>
    </w:p>
    <w:p>
      <w:r>
        <w:rPr>
          <w:b/>
        </w:rPr>
        <w:t xml:space="preserve">Ergebnis: </w:t>
      </w:r>
      <w:r>
        <w:t>Schnellerer Rückgang Plasma-Renin 2,61 %/h vs. 1,67 %/h (p=0,015), Laktat 1,53 %/h vs. 1,01 %/h (p=0,006) in den ersten 72 h. SOFA-Score Reduktion: −3 Punkte vs. 0 (p=0,018). Tachyarrhythmien signifikant seltener (15,6 % vs. 68,6 %, p&lt;0,01). ICU-Mortalität 26,3 % vs. 41,5 %, 28-Tage-Mortalität 36,8 % vs. 46,3 % (keine Signifikanz). Physiologische Marker verbessert, klinische Mortalität nicht signifikant reduziert.</w:t>
      </w:r>
    </w:p>
    <w:p>
      <w:r>
        <w:rPr>
          <w:b/>
          <w:sz w:val="19"/>
        </w:rPr>
        <w:t xml:space="preserve">Übertragbarkeit: </w:t>
      </w:r>
      <w:r>
        <w:rPr>
          <w:sz w:val="19"/>
        </w:rPr>
        <w:t>Slowenien und Kroatien, vergleichbare Intensivmedizin; Behandlungsbündel-Ansatz übertragbar</w:t>
      </w:r>
    </w:p>
    <w:p>
      <w:r>
        <w:rPr>
          <w:color w:val="5A7D3A"/>
          <w:sz w:val="18"/>
        </w:rPr>
        <w:t>https://pubmed.ncbi.nlm.nih.gov/42827265/</w:t>
      </w:r>
    </w:p>
    <w:p>
      <w:pPr>
        <w:pStyle w:val="Heading2"/>
      </w:pPr>
      <w:r>
        <w:t>Immunreaktionen unter Checkpoint-Inhibitoren vorhersagen Überlebensvorteil unabhängig vom Alter</w:t>
      </w:r>
    </w:p>
    <w:p>
      <w:r>
        <w:rPr>
          <w:i/>
          <w:color w:val="666666"/>
          <w:sz w:val="18"/>
        </w:rPr>
        <w:t>Agbarya A et al.  ·  Front Immunol  ·  17.09.2026  ·  PMID 42824450</w:t>
      </w:r>
    </w:p>
    <w:p>
      <w:r>
        <w:t>Retrospektive multizentrische Studie mit 452 älteren und jüngeren Patienten mit metastasiertem nicht-kleinzelligem Lungenkarzinom unter Checkpoint-Inhibitoren; Analyse, ob Immunnebenwirkungen (irAEs) mit Progression Free und Overall Survival korrelieren.</w:t>
      </w:r>
    </w:p>
    <w:p>
      <w:r>
        <w:rPr>
          <w:b/>
        </w:rPr>
        <w:t xml:space="preserve">Ergebnis: </w:t>
      </w:r>
      <w:r>
        <w:t>344 Patienten &lt;75 Jahre, 108 ≥75 Jahre. Patienten ≥75 Jahre häufiger &gt;2 verschiedene irAE-Typen. Median PFS 12,0 und OS 15,0 Monate gesamt; OS signifikant kürzer in Gruppe ≥75 Jahren (p=0,008). Auftreten irAEs assoziiert mit verbesserter PFS und OS in beiden Altersgruppen; höhere irAE-Last (&gt;2 Typen) numerisch länger mit Überleben assoziiert.</w:t>
      </w:r>
    </w:p>
    <w:p>
      <w:r>
        <w:rPr>
          <w:b/>
          <w:sz w:val="19"/>
        </w:rPr>
        <w:t xml:space="preserve">Übertragbarkeit: </w:t>
      </w:r>
      <w:r>
        <w:rPr>
          <w:sz w:val="19"/>
        </w:rPr>
        <w:t>Israel, prospektives Design; Immunverträglichkeit als Prognosemarker übertragbar</w:t>
      </w:r>
    </w:p>
    <w:p>
      <w:r>
        <w:rPr>
          <w:color w:val="5A7D3A"/>
          <w:sz w:val="18"/>
        </w:rPr>
        <w:t>https://pubmed.ncbi.nlm.nih.gov/42824450/</w:t>
      </w:r>
    </w:p>
    <w:p>
      <w:pPr>
        <w:pStyle w:val="Heading2"/>
      </w:pPr>
      <w:r>
        <w:t>Impffehlquoten durch Arbeitsüberlastung und prekäre Bedingungen in Primärversorgung</w:t>
      </w:r>
    </w:p>
    <w:p>
      <w:r>
        <w:rPr>
          <w:i/>
          <w:color w:val="666666"/>
          <w:sz w:val="18"/>
        </w:rPr>
        <w:t>Cirino FMSB et al.  ·  Rev Bras Enferm  ·  28.09.2026  ·  PMID 42820566</w:t>
      </w:r>
    </w:p>
    <w:p>
      <w:r>
        <w:t>Reflexive brasilianische Studie über Impffehlquoten in der Grundversorgung; kritische Analyse der Arbeitsbedingungen von Pflegefachpersonen und organisatorischer Faktoren jenseits individueller Verantwortung.</w:t>
      </w:r>
    </w:p>
    <w:p>
      <w:r>
        <w:rPr>
          <w:b/>
        </w:rPr>
        <w:t xml:space="preserve">Ergebnis: </w:t>
      </w:r>
      <w:r>
        <w:t>Impffehlquoten nicht auf technische oder individuelle Fehler reduzierbar, sondern Ausdruck von Burnout durch prekäre Arbeitsbedingungen, Überarbeitung und ungleicher Ressourcenverteilung. Systemischer Ansatz erforderlich: Stärkung von Autonomie, würdige Arbeitsbedingungen und kritische Reflexionsräume für Sicherheitskultur.</w:t>
      </w:r>
    </w:p>
    <w:p>
      <w:r>
        <w:rPr>
          <w:b/>
          <w:sz w:val="19"/>
        </w:rPr>
        <w:t xml:space="preserve">Übertragbarkeit: </w:t>
      </w:r>
      <w:r>
        <w:rPr>
          <w:sz w:val="19"/>
        </w:rPr>
        <w:t>Brasilien; Arbeitsschutz und Fehlerkultur in Primärversorgung prinzipiell übertragbar</w:t>
      </w:r>
    </w:p>
    <w:p>
      <w:r>
        <w:rPr>
          <w:color w:val="5A7D3A"/>
          <w:sz w:val="18"/>
        </w:rPr>
        <w:t>https://pubmed.ncbi.nlm.nih.gov/42820566/</w:t>
      </w:r>
    </w:p>
    <w:p>
      <w:pPr>
        <w:pStyle w:val="Heading2"/>
      </w:pPr>
      <w:r>
        <w:t>Zellfreie DNA und HLA-DR vorhersagen Sepsis-Mortalität besser als Standardscores</w:t>
      </w:r>
    </w:p>
    <w:p>
      <w:r>
        <w:rPr>
          <w:i/>
          <w:color w:val="666666"/>
          <w:sz w:val="18"/>
        </w:rPr>
        <w:t>Peng X et al.  ·  J Int Med Res  ·  30.09.2026  ·  PMID 42816759</w:t>
      </w:r>
    </w:p>
    <w:p>
      <w:r>
        <w:t>Prospektive chinesische Kohortenstudie mit 307 Sepsispatienten auf Intensivstationen; Messung von zellfreier DNA und monozyten-HLA-DR-Expression in den ersten 24 h und Vorhersagekraft für 28-Tage-Mortalität gegenüber etablierten Scores.</w:t>
      </w:r>
    </w:p>
    <w:p>
      <w:r>
        <w:rPr>
          <w:b/>
        </w:rPr>
        <w:t xml:space="preserve">Ergebnis: </w:t>
      </w:r>
      <w:r>
        <w:t>89 von 307 Patienten starben (28,99 %). Höhere zellfreie DNA und niedrigere mHLA-DR bei Verstorbenen. Kombiniertes Biomarker-Modell erhöhte AUC von 0,79 auf 0,88 (gegenüber klinischem Basis-Modell). Net Reclassification Improvement und Integrated Discrimination Improvement signifikant positiv. Interne Validierung bestätigt. Externe Validierung erforderlich.</w:t>
      </w:r>
    </w:p>
    <w:p>
      <w:r>
        <w:rPr>
          <w:b/>
          <w:sz w:val="19"/>
        </w:rPr>
        <w:t xml:space="preserve">Übertragbarkeit: </w:t>
      </w:r>
      <w:r>
        <w:rPr>
          <w:sz w:val="19"/>
        </w:rPr>
        <w:t>China, prospektives Design; Biomarkerkombinatoren für Risikostratifikation übertragbar</w:t>
      </w:r>
    </w:p>
    <w:p>
      <w:r>
        <w:rPr>
          <w:color w:val="5A7D3A"/>
          <w:sz w:val="18"/>
        </w:rPr>
        <w:t>https://pubmed.ncbi.nlm.nih.gov/42816759/</w:t>
      </w:r>
    </w:p>
    <w:p>
      <w:pPr>
        <w:pStyle w:val="Heading2"/>
      </w:pPr>
      <w:r>
        <w:t>Angemessene Antibiotikaauswahl reduziert unerwünschte Ereignisse bei COPD-Exazerbation um 41 %</w:t>
      </w:r>
    </w:p>
    <w:p>
      <w:r>
        <w:rPr>
          <w:i/>
          <w:color w:val="666666"/>
          <w:sz w:val="18"/>
        </w:rPr>
        <w:t>Perales-Muñoz R et al.  ·  Rev Esp Quimioter  ·  21.09.2026  ·  PMID 42768888</w:t>
      </w:r>
    </w:p>
    <w:p>
      <w:r>
        <w:t>Spanische Multizenterstudie an 4.136 Patienten mit akuter COPD-Exazerbation in Notfallaufnahmen; Auswertung, ob die Wahl des Antibiotikums nach nationalen Leitlinien mit 30-Tage-Ergebnissen (Rückfall, Wiederaufnahme, Tod) assoziiert ist.</w:t>
      </w:r>
    </w:p>
    <w:p>
      <w:r>
        <w:rPr>
          <w:b/>
        </w:rPr>
        <w:t xml:space="preserve">Ergebnis: </w:t>
      </w:r>
      <w:r>
        <w:t>56,9 % der aus der Notaufnahme entlassenen Patienten erhielten Antibiotika, 16,0 % inadäquat. Unerwünschte Ereignisse bei inadäquater Therapie 20,9 % vs. 13,3 % (p=0,019); adjustierte Risikoreduktion durch angemessene Auswahl: RR 0,59 (95%-CI 0,41–0,85, p=0,004). Einziger beeinflussbarer Faktor mit unabhängiger Schutzwirkung.</w:t>
      </w:r>
    </w:p>
    <w:p>
      <w:r>
        <w:rPr>
          <w:b/>
          <w:sz w:val="19"/>
        </w:rPr>
        <w:t xml:space="preserve">Übertragbarkeit: </w:t>
      </w:r>
      <w:r>
        <w:rPr>
          <w:sz w:val="19"/>
        </w:rPr>
        <w:t>Spanien, vergleichbare Notaufnahmesysteme; Leitlinienkonformität als Qualitätsindikator übertragbar</w:t>
      </w:r>
    </w:p>
    <w:p>
      <w:r>
        <w:rPr>
          <w:color w:val="5A7D3A"/>
          <w:sz w:val="18"/>
        </w:rPr>
        <w:t>https://pubmed.ncbi.nlm.nih.gov/42768888/</w:t>
      </w:r>
    </w:p>
    <w:p>
      <w:pPr>
        <w:pStyle w:val="Heading2"/>
      </w:pPr>
      <w:r>
        <w:t>Serratia-Bakteriämie: Stabile Inzidenz, 24 % Mortalität, Wirtsmerkmale bestimmen Ausgang</w:t>
      </w:r>
    </w:p>
    <w:p>
      <w:r>
        <w:rPr>
          <w:i/>
          <w:color w:val="666666"/>
          <w:sz w:val="18"/>
        </w:rPr>
        <w:t>Thiele IM et al.  ·  APMIS  ·  Aug. 2026  ·  PMID 42635016</w:t>
      </w:r>
    </w:p>
    <w:p>
      <w:r>
        <w:t>Populationsbasierte dänische Kohortenstudie (2010–2024) mit 188 Patienten mit Serratia-Bakteriämie; Erfassung klinischer Charakteristika, Infektfokus und 30-Tage-Mortalität nach Art der Akquisition (ambulant, healthcare-assoziiert, nosokomial).</w:t>
      </w:r>
    </w:p>
    <w:p>
      <w:r>
        <w:rPr>
          <w:b/>
        </w:rPr>
        <w:t xml:space="preserve">Ergebnis: </w:t>
      </w:r>
      <w:r>
        <w:t>Stabile jährliche Inzidenz 2,1/100.000 Personenjahre (95%-CI 1,8–2,5). Gemeinschaftserworben 38 %, nosokomial 37 %, Fokus Harnweg 25 %, Gallenwege 20 %, keine Fokusidentifikation 28 %. 30-Tage-Mortalität 24 %. Höheres Alter (RR 1,02 pro Jahr) und hoher Comorbidity-Index (RR 2,58, 95%-CI 1,01–6,63) mit erhöhter Mortalität assoziiert; Akquisitionsart nicht signifikant.</w:t>
      </w:r>
    </w:p>
    <w:p>
      <w:r>
        <w:rPr>
          <w:b/>
          <w:sz w:val="19"/>
        </w:rPr>
        <w:t xml:space="preserve">Übertragbarkeit: </w:t>
      </w:r>
      <w:r>
        <w:rPr>
          <w:sz w:val="19"/>
        </w:rPr>
        <w:t>Dänemark, Meldepflicht und Entschädigung ohne Verschuldensnachweis; Epidemiologie nicht direkt mit Deutschland vergleichbar</w:t>
      </w:r>
    </w:p>
    <w:p>
      <w:r>
        <w:rPr>
          <w:color w:val="5A7D3A"/>
          <w:sz w:val="18"/>
        </w:rPr>
        <w:t>https://pubmed.ncbi.nlm.nih.gov/42635016/</w:t>
      </w:r>
    </w:p>
    <w:p>
      <w:pPr>
        <w:pStyle w:val="Heading1"/>
      </w:pPr>
      <w:r>
        <w:t>Aufgenommen am 03.10.2026</w:t>
      </w:r>
    </w:p>
    <w:p>
      <w:pPr>
        <w:pStyle w:val="Heading2"/>
      </w:pPr>
      <w:r>
        <w:t>Strukturierte Intervention senkte 72-Stunden-Wiederaufnahmen bei Sepsis um 0,00112 pro Patient pro Monat</w:t>
      </w:r>
    </w:p>
    <w:p>
      <w:r>
        <w:rPr>
          <w:i/>
          <w:color w:val="666666"/>
          <w:sz w:val="18"/>
        </w:rPr>
        <w:t>Burns R et al.  ·  South Med J  ·  02.10.2026  ·  PMID 42826397</w:t>
      </w:r>
    </w:p>
    <w:p>
      <w:r>
        <w:t>Retrospektive Kohortenstudie mit unterbrochener Zeitreihenanalyse: Auswirkung einer Interventionsmaßnahme auf 72-Stunden-Wiederaufnahmen von Patienten mit Sepsis oder Pyelonephritis in einer US-amerikanischen Notaufnahme (2020–2023).</w:t>
      </w:r>
    </w:p>
    <w:p>
      <w:r>
        <w:rPr>
          <w:b/>
        </w:rPr>
        <w:t xml:space="preserve">Ergebnis: </w:t>
      </w:r>
      <w:r>
        <w:t>Von 39.818 Patienten hatten 4.907 (12,3 %) 72-Stunden-Wiederaufnahmen. Vor Intervention: Anstieg um 0,00054 pro Aufnahme pro Monat (p=0,30). Nach Interventionsimplementierung am 4. Mai 2021 sofortiger Rückgang um 0,0017 (p=0,75), dann nachhaltiger Rückgang um 0,00112 pro Aufnahme pro Monat (p=0,04). Für Sepsis spezifisch: nachhaltiger Rückgang von 0,0033 pro Aufnahme pro Monat (p=0,02). Intervention war mit nachhaltiger Reduktion der Wiederaufnahmen assoziiert.</w:t>
      </w:r>
    </w:p>
    <w:p>
      <w:r>
        <w:rPr>
          <w:b/>
          <w:sz w:val="19"/>
        </w:rPr>
        <w:t xml:space="preserve">Übertragbarkeit: </w:t>
      </w:r>
      <w:r>
        <w:rPr>
          <w:sz w:val="19"/>
        </w:rPr>
        <w:t>USA, Wiederaufnahme-Messung übertragbar, Interventionsdetails fehlen</w:t>
      </w:r>
    </w:p>
    <w:p>
      <w:r>
        <w:rPr>
          <w:color w:val="5A7D3A"/>
          <w:sz w:val="18"/>
        </w:rPr>
        <w:t>https://pubmed.ncbi.nlm.nih.gov/42826397/</w:t>
      </w:r>
    </w:p>
    <w:p>
      <w:pPr>
        <w:pStyle w:val="Heading2"/>
      </w:pPr>
      <w:r>
        <w:t>Antibiotic Stewardship bei geschlossenen Gesichtsfrakturen reduziert Schaden ohne Infektionsschutz</w:t>
      </w:r>
    </w:p>
    <w:p>
      <w:r>
        <w:rPr>
          <w:i/>
          <w:color w:val="666666"/>
          <w:sz w:val="18"/>
        </w:rPr>
        <w:t>Isaac JI et al.  ·  South Med J  ·  02.10.2026  ·  PMID 42826395</w:t>
      </w:r>
    </w:p>
    <w:p>
      <w:r>
        <w:t>Systematische Übersicht von sieben US-amerikanischen Studien mit 3.274 Patienten zu prophylaktischen Antibiotika bei nicht-operativ behandelten Gesichtsfrakturen: Frakturen-assoziierte Infektionsrate 1,0 %, ohne Nutzen der Antibiotikaprophylaxe.</w:t>
      </w:r>
    </w:p>
    <w:p>
      <w:r>
        <w:rPr>
          <w:b/>
        </w:rPr>
        <w:t xml:space="preserve">Ergebnis: </w:t>
      </w:r>
      <w:r>
        <w:t>Infektionsraten waren niedrig (1,0 % in der größten prospektiven Kohortenstudie) und wurden durch Prophylaxe nicht gesenkt (angepasstes Odds Ratio 1,24–1,32). Längere Antibiotikaexposition war mit isolierten Fällen von Clostridioides-difficile-Kolitis assoziiert. Verfügbare Evidenz unterstützt keine routinemäßige Prophylaxe für unkomplizierte, nicht-operative Gesichtsfrakturen.</w:t>
      </w:r>
    </w:p>
    <w:p>
      <w:r>
        <w:rPr>
          <w:b/>
          <w:sz w:val="19"/>
        </w:rPr>
        <w:t xml:space="preserve">Übertragbarkeit: </w:t>
      </w:r>
      <w:r>
        <w:rPr>
          <w:sz w:val="19"/>
        </w:rPr>
        <w:t>USA-Daten, Prinzip aber übertragbar: vermeidbarer Schaden durch unnötige Antibiotikaexposition</w:t>
      </w:r>
    </w:p>
    <w:p>
      <w:r>
        <w:rPr>
          <w:color w:val="5A7D3A"/>
          <w:sz w:val="18"/>
        </w:rPr>
        <w:t>https://pubmed.ncbi.nlm.nih.gov/42826395/</w:t>
      </w:r>
    </w:p>
    <w:p>
      <w:pPr>
        <w:pStyle w:val="Heading2"/>
      </w:pPr>
      <w:r>
        <w:t>Hochantibiotika-Exposition bei niedriger Sepsis-Inzidenz in Neugeborenen-Intensivstationen Ungarns</w:t>
      </w:r>
    </w:p>
    <w:p>
      <w:r>
        <w:rPr>
          <w:i/>
          <w:color w:val="666666"/>
          <w:sz w:val="18"/>
        </w:rPr>
        <w:t>Mari J et al.  ·  Eur J Pediatr  ·  02.10.2026  ·  PMID 42825830</w:t>
      </w:r>
    </w:p>
    <w:p>
      <w:r>
        <w:t>Nationale Registry-Analyse der Antibiotika-Exposition bei Neugeborenen mit früher Sepsis in Ungarn (2020–2023): 0,41 Fälle pro 1.000 Lebendgeburten, aber 63,9 % aller auf Intensivstationen behandelten Neugeborenen erhielten Antibiotika.</w:t>
      </w:r>
    </w:p>
    <w:p>
      <w:r>
        <w:rPr>
          <w:b/>
        </w:rPr>
        <w:t xml:space="preserve">Ergebnis: </w:t>
      </w:r>
      <w:r>
        <w:t>Die Inzidenz der kultivierten early-onset sepsis (CP-EOS) betrug 0,41 pro 1.000 Lebendgeburten (0,20 bei ≥35 Wochen, 7,0 bei &lt;35 Wochen). Trotzdem erhalten 63,9 % der NICU-Neugeborenen Antibiotika im Median 5 (3–8) Tage. Ein Minimum von 3,2 % aller Neugeborenen Ungarns erhielten Antibiotika, und 15,6 % der Blutkulturen zeigten keine nachfolgende Antibiotikabehandlung. Die Studie dokumentiert unnötig hohe Antibiotika-Exposition bei geringer sepsis-Inzidenz und fordert Strategien zur Reduktion.</w:t>
      </w:r>
    </w:p>
    <w:p>
      <w:r>
        <w:rPr>
          <w:b/>
          <w:sz w:val="19"/>
        </w:rPr>
        <w:t xml:space="preserve">Übertragbarkeit: </w:t>
      </w:r>
      <w:r>
        <w:rPr>
          <w:sz w:val="19"/>
        </w:rPr>
        <w:t>Europäische Daten, vergleichbare neonatale Intensivmedizin, Antibiotic Stewardship-relevanz</w:t>
      </w:r>
    </w:p>
    <w:p>
      <w:r>
        <w:rPr>
          <w:color w:val="5A7D3A"/>
          <w:sz w:val="18"/>
        </w:rPr>
        <w:t>https://pubmed.ncbi.nlm.nih.gov/42825830/</w:t>
      </w:r>
    </w:p>
    <w:p>
      <w:pPr>
        <w:pStyle w:val="Heading2"/>
      </w:pPr>
      <w:r>
        <w:t>Sichere Praktiken in der intravenösen Arzneimitteltherapie: Asepsis, Labeling und Dokumentation verhindern Fehler</w:t>
      </w:r>
    </w:p>
    <w:p>
      <w:r>
        <w:rPr>
          <w:i/>
          <w:color w:val="666666"/>
          <w:sz w:val="18"/>
        </w:rPr>
        <w:t>Rocha HDSD et al.  ·  Rev Bras Enferm  ·  28.09.2026  ·  PMID 42820560</w:t>
      </w:r>
    </w:p>
    <w:p>
      <w:r>
        <w:t>Scoping Review nach JBI über sichere Praktiken bei intravenöser Arzneimitteltherapie bei hospitalisierten Erwachsenen: Analyse von 18 Studien zu Asepsis, Vorbereitung, Kennzeichnung, Applikation und Dokumentation.</w:t>
      </w:r>
    </w:p>
    <w:p>
      <w:r>
        <w:rPr>
          <w:b/>
        </w:rPr>
        <w:t xml:space="preserve">Ergebnis: </w:t>
      </w:r>
      <w:r>
        <w:t>Identifizierte sichere Praktiken während intravenöser Arzneimitteltherapie: Händehygiene, Doppelcheck, Medikamenten- und Patientenidentifikation, Prüfung der Zugangspermeabilität, Dokumentation der Verabreichung und Nebenwirkungen. Diese fünf Stufen (Aseptik, Vorbereitung, Labeling, Applikation, Dokumentation) werden als grundlegend für die Sicherheit hospitalisierter Patienten beschrieben.</w:t>
      </w:r>
    </w:p>
    <w:p>
      <w:r>
        <w:rPr>
          <w:b/>
          <w:sz w:val="19"/>
        </w:rPr>
        <w:t xml:space="preserve">Übertragbarkeit: </w:t>
      </w:r>
      <w:r>
        <w:rPr>
          <w:sz w:val="19"/>
        </w:rPr>
        <w:t>Brasilien, aber internationale Best-Practice-Synthese, direkt auf Deutschland übertragbar</w:t>
      </w:r>
    </w:p>
    <w:p>
      <w:r>
        <w:rPr>
          <w:color w:val="5A7D3A"/>
          <w:sz w:val="18"/>
        </w:rPr>
        <w:t>https://pubmed.ncbi.nlm.nih.gov/42820560/</w:t>
      </w:r>
    </w:p>
    <w:p>
      <w:pPr>
        <w:pStyle w:val="Heading2"/>
      </w:pPr>
      <w:r>
        <w:t>Candida-auris-Ausbruch mit Echinocandin-Resistenz in der Türkei dokumentiert Übertragungsdynamik</w:t>
      </w:r>
    </w:p>
    <w:p>
      <w:r>
        <w:rPr>
          <w:i/>
          <w:color w:val="666666"/>
          <w:sz w:val="18"/>
        </w:rPr>
        <w:t>Spruijtenburg B et al.  ·  Int J Infect Dis  ·  14.08.2026  ·  PMID 42600976</w:t>
      </w:r>
    </w:p>
    <w:p>
      <w:r>
        <w:t>Retrospektive Analyse eines C.-auris-Ausbruchs in einem türkischen Tertiärzentrum (April 2023 – September 2025): 119 Patienten mit Blutstrominfektion, Genotypisierung zeigte Ausbreitung eines Einzelstamms über 21 Stationen ohne Neueinschleppung.</w:t>
      </w:r>
    </w:p>
    <w:p>
      <w:r>
        <w:rPr>
          <w:b/>
        </w:rPr>
        <w:t xml:space="preserve">Ergebnis: </w:t>
      </w:r>
      <w:r>
        <w:t>119 Patienten mit C.-auris-Blutstrominfektion, 30-Tage-Mortalität 54 %. Alle Isolate waren Fluconazol-resistent; zwei Patienten mit vorheriger Echinocandin-Exposition hatten Echinocandin-resistente Isolate (FKS1S639P). Genotypisierung zeigte Clade I mit drei eng verwandten Genotypen; epidemiologische Rückverfolgung und molekulares Typing zeigten, dass ein Ausbruchspatient die Quelle war und sich der Stamm ohne weitere Einschleppungen über mehrere Stationen ausbreitete. Erkannte Übertragungsdynamik unterstreicht Notwendigkeit stärkerer Infektionsprävention.</w:t>
      </w:r>
    </w:p>
    <w:p>
      <w:r>
        <w:rPr>
          <w:b/>
          <w:sz w:val="19"/>
        </w:rPr>
        <w:t xml:space="preserve">Übertragbarkeit: </w:t>
      </w:r>
      <w:r>
        <w:rPr>
          <w:sz w:val="19"/>
        </w:rPr>
        <w:t>Türkei (Europa), Ausbruch-Management relevant, Meldepflichten unterscheiden sich</w:t>
      </w:r>
    </w:p>
    <w:p>
      <w:r>
        <w:rPr>
          <w:color w:val="5A7D3A"/>
          <w:sz w:val="18"/>
        </w:rPr>
        <w:t>https://pubmed.ncbi.nlm.nih.gov/42600976/</w:t>
      </w:r>
    </w:p>
    <w:p>
      <w:pPr>
        <w:pStyle w:val="Heading1"/>
      </w:pPr>
      <w:r>
        <w:t>Aufgenommen am 02.10.2026</w:t>
      </w:r>
    </w:p>
    <w:p>
      <w:pPr>
        <w:pStyle w:val="Heading2"/>
      </w:pPr>
      <w:r>
        <w:t>Dediziertes Wechsel-Team senkte Dekubitalulzera auf Intensivstationen um 42 Prozent</w:t>
      </w:r>
    </w:p>
    <w:p>
      <w:r>
        <w:rPr>
          <w:i/>
          <w:color w:val="666666"/>
          <w:sz w:val="18"/>
        </w:rPr>
        <w:t>Tapper GM et al.  ·  Dimens Crit Care Nurs  ·  30.09.2026  ·  PMID 42821859</w:t>
      </w:r>
    </w:p>
    <w:p>
      <w:r>
        <w:t>24-Bett-Herzintensivstation führte nichtmedizinisches Team zur regelmäßigen Patientenumlagerung und Mobilisierung ein; untersucht wurde Effekt auf nosokomiale Druckgeschwüre vor und nach Intervention bei unkontrolliert vielen Patientenaufnahmen.</w:t>
      </w:r>
    </w:p>
    <w:p>
      <w:r>
        <w:rPr>
          <w:b/>
        </w:rPr>
        <w:t xml:space="preserve">Ergebnis: </w:t>
      </w:r>
      <w:r>
        <w:t>Dekubitusrate sank um 42% (p=0,043). Nach Adjustment für Tagesbelegung sank das tägliche Risiko von 6,74% auf 4,03% (adjustierte OR 0,581; 95%-KI 0,33-1,02; p=0,059). Pflegekräfte bewerteten Teamzusammenarbeit und Produktivitätssteigerung positiv in Umfragen.</w:t>
      </w:r>
    </w:p>
    <w:p>
      <w:r>
        <w:rPr>
          <w:b/>
          <w:sz w:val="19"/>
        </w:rPr>
        <w:t xml:space="preserve">Übertragbarkeit: </w:t>
      </w:r>
      <w:r>
        <w:rPr>
          <w:sz w:val="19"/>
        </w:rPr>
        <w:t>USA (Cleveland Clinic Abu Dhabi); Organisationsmodell ist systemunabhängig übertragbar</w:t>
      </w:r>
    </w:p>
    <w:p>
      <w:r>
        <w:rPr>
          <w:color w:val="5A7D3A"/>
          <w:sz w:val="18"/>
        </w:rPr>
        <w:t>https://pubmed.ncbi.nlm.nih.gov/42821859/</w:t>
      </w:r>
    </w:p>
    <w:p>
      <w:pPr>
        <w:pStyle w:val="Heading2"/>
      </w:pPr>
      <w:r>
        <w:t>Entzündungs-Ernährungs-Index am dritten postoperativen Tag sagt Wundkomplikationen voraus</w:t>
      </w:r>
    </w:p>
    <w:p>
      <w:r>
        <w:rPr>
          <w:i/>
          <w:color w:val="666666"/>
          <w:sz w:val="18"/>
        </w:rPr>
        <w:t>Gönüllü ME et al.  ·  Langenbecks Arch Surg  ·  01.09.2026  ·  PMID 42821143</w:t>
      </w:r>
    </w:p>
    <w:p>
      <w:r>
        <w:t>Retrospektive Beobachtungsstudie in zwei türkischen Chirurgiefachbereichen mit 86 Patienten (Januar 2020–Dezember 2025) evaluierte einen neuen Wound Inflammation-Nutrition Index (WINA) und dessen Änderung zwischen postoperativem Tag 1 und 3 (ΔWINA) zur Vorhersage von Wundkomplikationen.</w:t>
      </w:r>
    </w:p>
    <w:p>
      <w:r>
        <w:rPr>
          <w:b/>
        </w:rPr>
        <w:t xml:space="preserve">Ergebnis: </w:t>
      </w:r>
      <w:r>
        <w:t>27,9% (n=24) entwickelten Wundkomplikationen. WINA-Werte an POD1/POD3 und ΔWINA waren bei Komplikationen höher (alle p&lt;0,001). ΔWINA pro 100-Unit-Steigerung: adjustierte OR 2,12 (95%-KI 1,44–3,13; p=0,001). ΔWINA erreichte AUC 0,872 (95%-KI 0,789–0,941) mit 83,3% Sensitivität, 80,6% Spezifität.</w:t>
      </w:r>
    </w:p>
    <w:p>
      <w:r>
        <w:rPr>
          <w:b/>
          <w:sz w:val="19"/>
        </w:rPr>
        <w:t xml:space="preserve">Übertragbarkeit: </w:t>
      </w:r>
      <w:r>
        <w:rPr>
          <w:sz w:val="19"/>
        </w:rPr>
        <w:t>Türkei, europäisch angrenzend; Entzündungsmarker sind in Deutschland routinemäßig verfügbar</w:t>
      </w:r>
    </w:p>
    <w:p>
      <w:r>
        <w:rPr>
          <w:color w:val="5A7D3A"/>
          <w:sz w:val="18"/>
        </w:rPr>
        <w:t>https://pubmed.ncbi.nlm.nih.gov/42821143/</w:t>
      </w:r>
    </w:p>
    <w:p>
      <w:pPr>
        <w:pStyle w:val="Heading2"/>
      </w:pPr>
      <w:r>
        <w:t>Carbapenem-Audit veränderte Gram-negative Resistenzmuster, aber mit Ausweicheffekten</w:t>
      </w:r>
    </w:p>
    <w:p>
      <w:r>
        <w:rPr>
          <w:i/>
          <w:color w:val="666666"/>
          <w:sz w:val="18"/>
        </w:rPr>
        <w:t>Keshavarzi F et al.  ·  Arch Microbiol  ·  01.10.2026  ·  PMID 42821075</w:t>
      </w:r>
    </w:p>
    <w:p>
      <w:r>
        <w:t>Malaysisches Uniklinikum untersuchte 6 Jahre (2015-2020), wie ein Post-Prescription-Audit für Carbapeneme die Anfälligkeit von sieben Gram-negativen Erregern verändert; Analyse mittels unterbrochener Zeitreihen und ARIMA-Modellierung.</w:t>
      </w:r>
    </w:p>
    <w:p>
      <w:r>
        <w:rPr>
          <w:b/>
        </w:rPr>
        <w:t xml:space="preserve">Ergebnis: </w:t>
      </w:r>
      <w:r>
        <w:t>Audit war mit erregerspezifischen Trend-Umkehrungen verbunden. Proteus mirabilis-Imipenem-Empfindlichkeit erholte sich (β=9,465; p=0,005). Klebsiella pneumoniae und Pseudomonas aeruginosa zeigten Abwärts-Trend-Umkehrungen trotz steigender Baselines. Ökologische Verschiebungen auf Fluoroquinolone und β-Laktam/β-Laktamase-Inhibitoren traten auf (P. mirabilis Amoxicillin-Clavulanat β=−43,023; p=0,024).</w:t>
      </w:r>
    </w:p>
    <w:p>
      <w:r>
        <w:rPr>
          <w:b/>
          <w:sz w:val="19"/>
        </w:rPr>
        <w:t xml:space="preserve">Übertragbarkeit: </w:t>
      </w:r>
      <w:r>
        <w:rPr>
          <w:sz w:val="19"/>
        </w:rPr>
        <w:t>Malaysia, vergleichbar mit deutschen Stewardship-Audits; zeigt Grenzen und Verschiebungsrisiken</w:t>
      </w:r>
    </w:p>
    <w:p>
      <w:r>
        <w:rPr>
          <w:color w:val="5A7D3A"/>
          <w:sz w:val="18"/>
        </w:rPr>
        <w:t>https://pubmed.ncbi.nlm.nih.gov/42821075/</w:t>
      </w:r>
    </w:p>
    <w:p>
      <w:pPr>
        <w:pStyle w:val="Heading2"/>
      </w:pPr>
      <w:r>
        <w:t>Digitale Automatisierung klinischer Pfade erhöhte Adherence an Protokolle um 63 Prozent</w:t>
      </w:r>
    </w:p>
    <w:p>
      <w:r>
        <w:rPr>
          <w:i/>
          <w:color w:val="666666"/>
          <w:sz w:val="18"/>
        </w:rPr>
        <w:t>Eduardo AA et al.  ·  Einstein (Sao Paulo)  ·  25.09.2026  ·  PMID 42820545</w:t>
      </w:r>
    </w:p>
    <w:p>
      <w:r>
        <w:t>Brasilianisches Universitätskrankenhaus implementierte ein Clinical-Decision-Support-System für Adipositas-Primärversorgung; Vergleich Labortestbestellmuster vor (2023) und nach (2024) Automatisierung bei Hunderten von Besuchen.</w:t>
      </w:r>
    </w:p>
    <w:p>
      <w:r>
        <w:rPr>
          <w:b/>
        </w:rPr>
        <w:t xml:space="preserve">Ergebnis: </w:t>
      </w:r>
      <w:r>
        <w:t>Adherente Tests stiegen um 63% (IRR 1,63; 95%-KI 1,37–1,96; p&lt;0,001). Median adherente Tests pro Besuch: vorher 1,0, nachher 3,0 (p=0,027). Perplexity sank von 70,9 auf 57,6, zeigend konzentriertere Testbestellungen auf Protokollgrundlage. Von den Top-10 Wachstumstests waren 9/10 protokollbasiert.</w:t>
      </w:r>
    </w:p>
    <w:p>
      <w:r>
        <w:rPr>
          <w:b/>
          <w:sz w:val="19"/>
        </w:rPr>
        <w:t xml:space="preserve">Übertragbarkeit: </w:t>
      </w:r>
      <w:r>
        <w:rPr>
          <w:sz w:val="19"/>
        </w:rPr>
        <w:t>Brasilien, Sozialversicherung; digitale Steuerung von Diagnostik ist in Deutschland relevant</w:t>
      </w:r>
    </w:p>
    <w:p>
      <w:r>
        <w:rPr>
          <w:color w:val="5A7D3A"/>
          <w:sz w:val="18"/>
        </w:rPr>
        <w:t>https://pubmed.ncbi.nlm.nih.gov/42820545/</w:t>
      </w:r>
    </w:p>
    <w:p>
      <w:pPr>
        <w:pStyle w:val="Heading2"/>
      </w:pPr>
      <w:r>
        <w:t>Laboroptimierung senkte Sterblichkeit bei Blutstrominfektion um 17 Prozent</w:t>
      </w:r>
    </w:p>
    <w:p>
      <w:r>
        <w:rPr>
          <w:i/>
          <w:color w:val="666666"/>
          <w:sz w:val="18"/>
        </w:rPr>
        <w:t>Shao J et al.  ·  Front Cell Infect Microbiol  ·  16.09.2026  ·  PMID 42819223</w:t>
      </w:r>
    </w:p>
    <w:p>
      <w:r>
        <w:t>Zehn Krankenhäuser in China optimierten ihre Blutkultur-Laborabläufe durch 24/7-Bearbeitung, schnelle MALDI-TOF-Massenspektrometrie und parallele Antibiogramme; untersucht wurden Auswirkungen auf Sterblichkeit, Kosten und Antibiotikagebrauch bei 1826 Patienten mit Sepsis.</w:t>
      </w:r>
    </w:p>
    <w:p>
      <w:r>
        <w:rPr>
          <w:b/>
        </w:rPr>
        <w:t xml:space="preserve">Ergebnis: </w:t>
      </w:r>
      <w:r>
        <w:t>In-Hospital-Mortalität sank von 19,5% auf 13,1% (p=0,002). Zeiten bis zur Erregererkennung wurden um 11-18,5 Stunden verkürzt. Gesamtkrankenhauskosten sanken signifikant (p=0,003), Antibiotikaausgaben nach statistischer Adjustment um p&lt;0,001. Längenaufenthalt und Laborkosten zeigten keine signifikanten Unterschiede.</w:t>
      </w:r>
    </w:p>
    <w:p>
      <w:r>
        <w:rPr>
          <w:b/>
          <w:sz w:val="19"/>
        </w:rPr>
        <w:t xml:space="preserve">Übertragbarkeit: </w:t>
      </w:r>
      <w:r>
        <w:rPr>
          <w:sz w:val="19"/>
        </w:rPr>
        <w:t>China, vergleichbare Laborstruktur; Methode auf deutsches System übertragbar</w:t>
      </w:r>
    </w:p>
    <w:p>
      <w:r>
        <w:rPr>
          <w:color w:val="5A7D3A"/>
          <w:sz w:val="18"/>
        </w:rPr>
        <w:t>https://pubmed.ncbi.nlm.nih.gov/42819223/</w:t>
      </w:r>
    </w:p>
    <w:p>
      <w:pPr>
        <w:pStyle w:val="Heading2"/>
      </w:pPr>
      <w:r>
        <w:t>WHO-Checkliste mit geschulten Teams hob Sicherheitskultur in OP um 12 Prozentpunkte</w:t>
      </w:r>
    </w:p>
    <w:p>
      <w:r>
        <w:rPr>
          <w:i/>
          <w:color w:val="666666"/>
          <w:sz w:val="18"/>
        </w:rPr>
        <w:t>Aouicha W et al.  ·  J Nurs Manag  ·  2026  ·  PMID 42817022</w:t>
      </w:r>
    </w:p>
    <w:p>
      <w:r>
        <w:t>Zwei tunesische Krankenhäuser führten ein Implementierungsbündel mit Surgical Safety Checklist, Teamtraining, Mentoring und Audit durch; 347 Fachkräfte (Ärzte, Anästhesisten, Pflegende) wurden befragt zu Sicherheitswahrnehmung in 12 Operationssälen über 21 Monate.</w:t>
      </w:r>
    </w:p>
    <w:p>
      <w:r>
        <w:rPr>
          <w:b/>
        </w:rPr>
        <w:t xml:space="preserve">Ergebnis: </w:t>
      </w:r>
      <w:r>
        <w:t>Gesamtwahrnehmte Sicherheit stieg von 70,7% auf 82,4% (postintervention) und stabilisierte sich. Vier Dimensionen verbesserten sich signifikant: Organisationales Lernen von 37,7% auf 50,6%, Teamwork innerhalb von 47,6% auf 59,1%, Kommunikationsopenness von 27,2% auf 46,2%, Teamwork übergreifend von 29,2% auf 37,5%.</w:t>
      </w:r>
    </w:p>
    <w:p>
      <w:r>
        <w:rPr>
          <w:b/>
          <w:sz w:val="19"/>
        </w:rPr>
        <w:t xml:space="preserve">Übertragbarkeit: </w:t>
      </w:r>
      <w:r>
        <w:rPr>
          <w:sz w:val="19"/>
        </w:rPr>
        <w:t>Nordafrika, multilingual; Settings mit Ressourcenknappheit wie deutsche Bundesländer</w:t>
      </w:r>
    </w:p>
    <w:p>
      <w:r>
        <w:rPr>
          <w:color w:val="5A7D3A"/>
          <w:sz w:val="18"/>
        </w:rPr>
        <w:t>https://pubmed.ncbi.nlm.nih.gov/42817022/</w:t>
      </w:r>
    </w:p>
    <w:p>
      <w:pPr>
        <w:pStyle w:val="Heading1"/>
      </w:pPr>
      <w:r>
        <w:t>Aufgenommen am 01.10.2026</w:t>
      </w:r>
    </w:p>
    <w:p>
      <w:pPr>
        <w:pStyle w:val="Heading2"/>
      </w:pPr>
      <w:r>
        <w:t>Defensive Medizin bei Geburtshelferinnen und Frauenärztinnen: Arbeitsunzufriedenheit steigert Schutzverhalten stark</w:t>
      </w:r>
    </w:p>
    <w:p>
      <w:r>
        <w:rPr>
          <w:i/>
          <w:color w:val="666666"/>
          <w:sz w:val="18"/>
        </w:rPr>
        <w:t>Cenger CD et al.  ·  JMIR Form Res  ·  30.09.2026  ·  PMID 42814963</w:t>
      </w:r>
    </w:p>
    <w:p>
      <w:r>
        <w:t>Cross-sectional-Studie (n=1069) unter Fachleuten in Geburtsmedizin in Istanbul; multivariable lineare Regressionsmodelle zur Identifikation unabhängig assoziierter Faktoren.</w:t>
      </w:r>
    </w:p>
    <w:p>
      <w:r>
        <w:rPr>
          <w:b/>
        </w:rPr>
        <w:t xml:space="preserve">Ergebnis: </w:t>
      </w:r>
      <w:r>
        <w:t>Mittlerer TDMPAS-Score 48,12 (SD 10,59). Unzufriedenheit mit Arbeitsbedingungen war unabhängig mit höheren defensive-medicine-Scores assoziiert (B=6,62; 95%-KI 4,19–9,05; p&lt;0,001), ebenso frühere Verwaltungsuntersuchungen (B=3,44; 95%-KI 1,37–5,50; p=0,001). Haftungsschulung (B=-2,18; p=0,002) und höhere Berufserfahrung (B=-0,15 pro Jahr; p=0,03) waren protektiv. Modell erklärte 17,6 % der Varianz.</w:t>
      </w:r>
    </w:p>
    <w:p>
      <w:r>
        <w:rPr>
          <w:b/>
          <w:sz w:val="19"/>
        </w:rPr>
        <w:t xml:space="preserve">Übertragbarkeit: </w:t>
      </w:r>
      <w:r>
        <w:rPr>
          <w:sz w:val="19"/>
        </w:rPr>
        <w:t>Türkei, Haftungsklima analog zu DACH, Defensive Medicine ähnlich häufig</w:t>
      </w:r>
    </w:p>
    <w:p>
      <w:r>
        <w:rPr>
          <w:color w:val="5A7D3A"/>
          <w:sz w:val="18"/>
        </w:rPr>
        <w:t>https://pubmed.ncbi.nlm.nih.gov/42814963/</w:t>
      </w:r>
    </w:p>
    <w:p>
      <w:pPr>
        <w:pStyle w:val="Heading2"/>
      </w:pPr>
      <w:r>
        <w:t>Druckgeschwüre als Zwischenfälle: 24 % aller gemeldeten unerwünschten Ereignisse in Spezialkrankenhaus</w:t>
      </w:r>
    </w:p>
    <w:p>
      <w:r>
        <w:rPr>
          <w:i/>
          <w:color w:val="666666"/>
          <w:sz w:val="18"/>
        </w:rPr>
        <w:t>Sowińska IM et al.  ·  PLoS One  ·  30.09.2026  ·  PMID 42814750</w:t>
      </w:r>
    </w:p>
    <w:p>
      <w:r>
        <w:t>Retrospektive Analyse von 1272 gemeldeten unerwünschten Ereignissen (2013–2020) in einem polnischen Spezialkrankenhaus; 305 davon (24 %) waren erworbene Druckgeschwüre.</w:t>
      </w:r>
    </w:p>
    <w:p>
      <w:r>
        <w:rPr>
          <w:b/>
        </w:rPr>
        <w:t xml:space="preserve">Ergebnis: </w:t>
      </w:r>
      <w:r>
        <w:t>Patienten mit Druckgeschwüren hatten signifikant längere Krankenhausaufenthalte (18,64 vs. 12,62 Tage; p &lt; 0,001) und mehr verordnete Medikamente (18,14 vs. 10,43; p &lt; 0,001). Im multivariaten Modell waren höheres Alter, prolongierte Hospitalisierung, höhere Medikamentenzahl und größere Komorbiditätslast unabhängig mit Druckgeschwüren assoziiert. Systematische Überwachung könnte Hochrisikopatienten identifizieren.</w:t>
      </w:r>
    </w:p>
    <w:p>
      <w:r>
        <w:rPr>
          <w:b/>
          <w:sz w:val="19"/>
        </w:rPr>
        <w:t xml:space="preserve">Übertragbarkeit: </w:t>
      </w:r>
      <w:r>
        <w:rPr>
          <w:sz w:val="19"/>
        </w:rPr>
        <w:t>Polen, vergleichbare Meldepflichten für unerwünschte Ereignisse</w:t>
      </w:r>
    </w:p>
    <w:p>
      <w:r>
        <w:rPr>
          <w:color w:val="5A7D3A"/>
          <w:sz w:val="18"/>
        </w:rPr>
        <w:t>https://pubmed.ncbi.nlm.nih.gov/42814750/</w:t>
      </w:r>
    </w:p>
    <w:p>
      <w:pPr>
        <w:pStyle w:val="Heading2"/>
      </w:pPr>
      <w:r>
        <w:t>Verzögerte Notfall-Kaiserschnitte und Fehldiagnosen führten 2025 zu häufigsten Arztfehlerurteilen in Malaysia</w:t>
      </w:r>
    </w:p>
    <w:p>
      <w:r>
        <w:rPr>
          <w:i/>
          <w:color w:val="666666"/>
          <w:sz w:val="18"/>
        </w:rPr>
        <w:t>Zainal Abidin H et al.  ·  Med J Malaysia  ·  Sept. 2026  ·  PMID 42813486</w:t>
      </w:r>
    </w:p>
    <w:p>
      <w:r>
        <w:t>Retrospektive Fallanalyse von 29 Haftungsfällen aus 2025 mit strukturiertem dreistufigem Kodierungsrahmen zur Erfassung von Rechenschaftspflicht und klinischer Governance.</w:t>
      </w:r>
    </w:p>
    <w:p>
      <w:r>
        <w:rPr>
          <w:b/>
        </w:rPr>
        <w:t xml:space="preserve">Ergebnis: </w:t>
      </w:r>
      <w:r>
        <w:t>22 Fälle in High Court, überwiegend öffentliche Krankenhäuser; Orthopädie (n=10), Geburtsmedizin (n=8), andere Chirurgie (n=6). Haftungsauslöser: zeitkritische Verzögerungen (Notfall-Kaiserschnitt, Gefäßbehandlung), Diagnostikversäumnisse (radiologische Untersuchungen, Sepsisverschleppung), unzureichende informed consent, unvollständige Dokumentation. Klinische Hosps wurden für Systemversäumnisse haftbar gemacht (non-delegable duty); Dokumentationsmängel galten als schwerwiegende Aggravation.</w:t>
      </w:r>
    </w:p>
    <w:p>
      <w:r>
        <w:rPr>
          <w:b/>
          <w:sz w:val="19"/>
        </w:rPr>
        <w:t xml:space="preserve">Übertragbarkeit: </w:t>
      </w:r>
      <w:r>
        <w:rPr>
          <w:sz w:val="19"/>
        </w:rPr>
        <w:t>Malaysia, Verschuldenshaftung wie Deutschland, wachsende Systemverantwortlichkeit</w:t>
      </w:r>
    </w:p>
    <w:p>
      <w:r>
        <w:rPr>
          <w:color w:val="5A7D3A"/>
          <w:sz w:val="18"/>
        </w:rPr>
        <w:t>https://pubmed.ncbi.nlm.nih.gov/42813486/</w:t>
      </w:r>
    </w:p>
    <w:p>
      <w:pPr>
        <w:pStyle w:val="Heading2"/>
      </w:pPr>
      <w:r>
        <w:t>Procalcitonin erkannt pädiatrische Sepsis mit mäßiger Genauigkeit – nutzbarer Zusatzmarker</w:t>
      </w:r>
    </w:p>
    <w:p>
      <w:r>
        <w:rPr>
          <w:i/>
          <w:color w:val="666666"/>
          <w:sz w:val="18"/>
        </w:rPr>
        <w:t>Razak SMA et al.  ·  Med J Malaysia  ·  Sept. 2026  ·  PMID 42813484</w:t>
      </w:r>
    </w:p>
    <w:p>
      <w:r>
        <w:t>Retrospektive Studie in malaysischer Tertiärklinik (Juni 2022–Juni 2024); 242 Kinder mit PCT-Test; ROC-Analyse und diagnostische Genauigkeit bei 0,5 ng/mL Cutoff.</w:t>
      </w:r>
    </w:p>
    <w:p>
      <w:r>
        <w:rPr>
          <w:b/>
        </w:rPr>
        <w:t xml:space="preserve">Ergebnis: </w:t>
      </w:r>
      <w:r>
        <w:t>129 (53,3 %) Sepsis-Fälle. Mittlere PCT-Werte höher bei Sepsis (1,940 vs. 0,240 ng/mL; p&lt;0,0001). Bei Cutoff 0,5 ng/mL: Sensitivität 76 %, Spezifität 73,5 %, PPV 76,6 %, NPV 72,8 %, PLR 2,86, NLR 0,33, Diagn. OR 8,75. ROC AUC 0,747 (95%-KI 0,692–0,802). PCT moderat positiv korreliert mit CRP (r=0,546), nicht mit Leukozytenzahl.</w:t>
      </w:r>
    </w:p>
    <w:p>
      <w:r>
        <w:rPr>
          <w:b/>
          <w:sz w:val="19"/>
        </w:rPr>
        <w:t xml:space="preserve">Übertragbarkeit: </w:t>
      </w:r>
      <w:r>
        <w:rPr>
          <w:sz w:val="19"/>
        </w:rPr>
        <w:t>Malaysia, pädiatrische Bevölkerung, PCT als klinisches Adjuvans übertragbar</w:t>
      </w:r>
    </w:p>
    <w:p>
      <w:r>
        <w:rPr>
          <w:color w:val="5A7D3A"/>
          <w:sz w:val="18"/>
        </w:rPr>
        <w:t>https://pubmed.ncbi.nlm.nih.gov/42813484/</w:t>
      </w:r>
    </w:p>
    <w:p>
      <w:pPr>
        <w:pStyle w:val="Heading2"/>
      </w:pPr>
      <w:r>
        <w:t>Magnesiummangel erhöht nosokomiale Spontanperitonitis und Sepsis bei Zirrhose</w:t>
      </w:r>
    </w:p>
    <w:p>
      <w:r>
        <w:rPr>
          <w:i/>
          <w:color w:val="666666"/>
          <w:sz w:val="18"/>
        </w:rPr>
        <w:t>Duan XJ et al.  ·  Front Immunol  ·  15.09.2026  ·  PMID 42812346</w:t>
      </w:r>
    </w:p>
    <w:p>
      <w:r>
        <w:t>Retrospektive Kohortenstudie (n=1110) von Zirrhosepatienten (Mai 2021–Juni 2025) mit Magnesiumspiegeln innerhalb 48 h nach Aufnahme; multivariable Regression und restricted cubic spline-Analyse.</w:t>
      </w:r>
    </w:p>
    <w:p>
      <w:r>
        <w:rPr>
          <w:b/>
        </w:rPr>
        <w:t xml:space="preserve">Ergebnis: </w:t>
      </w:r>
      <w:r>
        <w:t>HA-SBP-Inzidenz 12,25 %, Sepsis 6,06 %. Pro 1-SD Magnesiumeröhung sanken HA-SBP-Risiko um 20,8 % (OR=0,792; 95%-KI 0,642–0,970; p=0,026) und Sepsisrisiko um 35,5 % (OR=0,645; 95%-KI 0,464–0,883; p=0,008). Hypomagnesämie vs. Normomagnesämie: OR für HA-SBP 1,520 (p=0,044), für Sepsis 2,213 (p=0,013). Lineare inverse Beziehung in RCS-Analyse (beide p&gt;0,05). AUC für HA-SBP 0,635, für Sepsis 0,688.</w:t>
      </w:r>
    </w:p>
    <w:p>
      <w:r>
        <w:rPr>
          <w:b/>
          <w:sz w:val="19"/>
        </w:rPr>
        <w:t xml:space="preserve">Übertragbarkeit: </w:t>
      </w:r>
      <w:r>
        <w:rPr>
          <w:sz w:val="19"/>
        </w:rPr>
        <w:t>China, Sepsisrisikofaktor mit messbarem Effekt, Interventionspotenzial</w:t>
      </w:r>
    </w:p>
    <w:p>
      <w:r>
        <w:rPr>
          <w:color w:val="5A7D3A"/>
          <w:sz w:val="18"/>
        </w:rPr>
        <w:t>https://pubmed.ncbi.nlm.nih.gov/42812346/</w:t>
      </w:r>
    </w:p>
    <w:p>
      <w:pPr>
        <w:pStyle w:val="Heading2"/>
      </w:pPr>
      <w:r>
        <w:t>Zinkmangelassoziiert mit höherer Sepsismortalität – Frühaufgriff ermöglicht Intervention</w:t>
      </w:r>
    </w:p>
    <w:p>
      <w:r>
        <w:rPr>
          <w:i/>
          <w:color w:val="666666"/>
          <w:sz w:val="18"/>
        </w:rPr>
        <w:t>Tuan NV et al.  ·  Int J Infect Dis  ·  25.08.2026  ·  PMID 42641939</w:t>
      </w:r>
    </w:p>
    <w:p>
      <w:r>
        <w:t>Prospektive Kohortenstudie (n=120) zu Zinkspiegeln bei Sepsispatienten zwischen Aufnahme und Tag 3; Analysen mit gemischtem Modell und Cox-Regression.</w:t>
      </w:r>
    </w:p>
    <w:p>
      <w:r>
        <w:rPr>
          <w:b/>
        </w:rPr>
        <w:t xml:space="preserve">Ergebnis: </w:t>
      </w:r>
      <w:r>
        <w:t>Patienten, die bis Tag 7 starben, zeigten keine unterschiedlichen Ausgangszinkwerte, aber niedrigere Zinkwerte am Tag 3 (56,05 vs. 68,65 µg/dL; p=0,081) und geringere Zinkzunahme vom Aufnahme- bis Tag 3 (0,80 vs. 15,40 µg/dL; p=0,017). Höhere Zinkwerte am Tag 3 waren mit niedrigerer Mortalität assoziiert (HR pro 10 µg/dL 0,77; 95%-KI 0,60–0,97; p=0,028). Versatz der Zinktrajektor zeichnete signifikant unterschiedliche Kurven nach Ausgang (Interaktion p=0,0022).</w:t>
      </w:r>
    </w:p>
    <w:p>
      <w:r>
        <w:rPr>
          <w:b/>
          <w:sz w:val="19"/>
        </w:rPr>
        <w:t xml:space="preserve">Übertragbarkeit: </w:t>
      </w:r>
      <w:r>
        <w:rPr>
          <w:sz w:val="19"/>
        </w:rPr>
        <w:t>Vietnam mit deutschem Partnerzentrum, messbarer Frühmarker für Sepsisrisiko</w:t>
      </w:r>
    </w:p>
    <w:p>
      <w:r>
        <w:rPr>
          <w:color w:val="5A7D3A"/>
          <w:sz w:val="18"/>
        </w:rPr>
        <w:t>https://pubmed.ncbi.nlm.nih.gov/42641939/</w:t>
      </w:r>
    </w:p>
    <w:p>
      <w:pPr>
        <w:pStyle w:val="Heading1"/>
      </w:pPr>
      <w:r>
        <w:t>Aufgenommen am 30.09.2026</w:t>
      </w:r>
    </w:p>
    <w:p>
      <w:pPr>
        <w:pStyle w:val="Heading2"/>
      </w:pPr>
      <w:r>
        <w:t>Chirurgische Infektionen steigern Behandlungskosten nach Bauchoperationen um 29.600 Euro</w:t>
      </w:r>
    </w:p>
    <w:p>
      <w:r>
        <w:rPr>
          <w:i/>
          <w:color w:val="666666"/>
          <w:sz w:val="18"/>
        </w:rPr>
        <w:t>Bontekoning N et al.  ·  BJS Open  ·  04.09.2026  ·  PMID 42808217</w:t>
      </w:r>
    </w:p>
    <w:p>
      <w:r>
        <w:t>Sekundäranalyse der EPO2CH-Studie mit 1.119 Patienten quantifizierte Kosten und Lebensqualität nach elektiven Bauchoperationen mit Infektionen versus ohne.</w:t>
      </w:r>
    </w:p>
    <w:p>
      <w:r>
        <w:rPr>
          <w:b/>
        </w:rPr>
        <w:t xml:space="preserve">Ergebnis: </w:t>
      </w:r>
      <w:r>
        <w:t>Patienten mit Infektionen: durchschnittliche Kosten 53.562 Euro vs. 23.969 Euro ohne Infektionen (Differenz 29.592 Euro). Qualitätsverlust: 0,171 QALYs vs. 0,205 ohne Infektionen (Differenz -0,035), entsprechend 12,78 Tagen verlorener Gesundheit in 3 Monaten. Anastomoseninsuffizienz mit höchsten Kosten (56.401 Euro mehr).</w:t>
      </w:r>
    </w:p>
    <w:p>
      <w:r>
        <w:rPr>
          <w:b/>
          <w:sz w:val="19"/>
        </w:rPr>
        <w:t xml:space="preserve">Übertragbarkeit: </w:t>
      </w:r>
      <w:r>
        <w:rPr>
          <w:sz w:val="19"/>
        </w:rPr>
        <w:t>Niederländische Klinikdaten, vergleichbares Versicherungssystem</w:t>
      </w:r>
    </w:p>
    <w:p>
      <w:r>
        <w:rPr>
          <w:color w:val="5A7D3A"/>
          <w:sz w:val="18"/>
        </w:rPr>
        <w:t>https://pubmed.ncbi.nlm.nih.gov/42808217/</w:t>
      </w:r>
    </w:p>
    <w:p>
      <w:pPr>
        <w:pStyle w:val="Heading2"/>
      </w:pPr>
      <w:r>
        <w:t>Desinfektion der Reinigungswerkzeuge senkt Pathogenkontamination um 50 Prozent</w:t>
      </w:r>
    </w:p>
    <w:p>
      <w:r>
        <w:rPr>
          <w:i/>
          <w:color w:val="666666"/>
          <w:sz w:val="18"/>
        </w:rPr>
        <w:t>Zhang X et al.  ·  Front Public Health  ·  14.09.2026  ·  PMID 42807511</w:t>
      </w:r>
    </w:p>
    <w:p>
      <w:r>
        <w:t>Querschnittsstudie mit 5.000 Proben von wiederverwendbaren Reinigungswerkzeugen in Shanghaier Krankenhäusern ermittelte Kontaminationsquoten und Effektivität von Desinfektionsmethoden.</w:t>
      </w:r>
    </w:p>
    <w:p>
      <w:r>
        <w:rPr>
          <w:b/>
        </w:rPr>
        <w:t xml:space="preserve">Ergebnis: </w:t>
      </w:r>
      <w:r>
        <w:t>Gesamtkontaminationsquote 7,44%. Werkzeuge ohne routinemäßige Desinfektion: 1,859-fach höheres Infektionsrisiko (OR; 95%-KI 1,283–2,691). Disposable-Desinfektionstücher effektiver als Wischen mit Lappen (p=0,038). Interne Medizin und Chirurgie höheres Risiko als Intensivstation (OR 1,90 bzw. 1,92).</w:t>
      </w:r>
    </w:p>
    <w:p>
      <w:r>
        <w:rPr>
          <w:b/>
          <w:sz w:val="19"/>
        </w:rPr>
        <w:t xml:space="preserve">Übertragbarkeit: </w:t>
      </w:r>
      <w:r>
        <w:rPr>
          <w:sz w:val="19"/>
        </w:rPr>
        <w:t>China, Prinzipien universal, aber lokale Hygienestandards variabel</w:t>
      </w:r>
    </w:p>
    <w:p>
      <w:r>
        <w:rPr>
          <w:color w:val="5A7D3A"/>
          <w:sz w:val="18"/>
        </w:rPr>
        <w:t>https://pubmed.ncbi.nlm.nih.gov/42807511/</w:t>
      </w:r>
    </w:p>
    <w:p>
      <w:pPr>
        <w:pStyle w:val="Heading2"/>
      </w:pPr>
      <w:r>
        <w:t>Infektionsprävention kontrolierte ESBL-Klebsiella-Ausbruch auf Neugeborenen-Station in 2 Monaten</w:t>
      </w:r>
    </w:p>
    <w:p>
      <w:r>
        <w:rPr>
          <w:i/>
          <w:color w:val="666666"/>
          <w:sz w:val="18"/>
        </w:rPr>
        <w:t>Comelli A et al.  ·  Antimicrob Resist Infect Control  ·  29.09.2026  ·  PMID 42806396</w:t>
      </w:r>
    </w:p>
    <w:p>
      <w:r>
        <w:t>Retrospektive Fall-Kontroll-Studie eines Ausbruchs mit 44 bestätigten ESBL-Klebsiella-Fällen in einer Neugeborenen-Intensivstation in Bangui dokumentierte Maßnahmen zur Ausbruchkontrolle.</w:t>
      </w:r>
    </w:p>
    <w:p>
      <w:r>
        <w:rPr>
          <w:b/>
        </w:rPr>
        <w:t xml:space="preserve">Ergebnis: </w:t>
      </w:r>
      <w:r>
        <w:t>Inzidenz 29,7 Fälle pro 1.000 Patiententage. Mortalität in der Infektionsgruppe 3,5-fach höher. Überbelegung &gt;100% und schlechte Infektionsprävention initial. Nach IPC-Interventionen (erste Monatshälfte): Ausbruch in ~2 Monaten kontrolliert. 56,8% frühe Sepsis, maternale Risikofaktoren stärkster unabhängiger Risikofaktor.</w:t>
      </w:r>
    </w:p>
    <w:p>
      <w:r>
        <w:rPr>
          <w:b/>
          <w:sz w:val="19"/>
        </w:rPr>
        <w:t xml:space="preserve">Übertragbarkeit: </w:t>
      </w:r>
      <w:r>
        <w:rPr>
          <w:sz w:val="19"/>
        </w:rPr>
        <w:t>Mittel-Afrika, prinzipien auf Deutschland übertragbar, aber Ressourcenunterschiede erheblich</w:t>
      </w:r>
    </w:p>
    <w:p>
      <w:r>
        <w:rPr>
          <w:color w:val="5A7D3A"/>
          <w:sz w:val="18"/>
        </w:rPr>
        <w:t>https://pubmed.ncbi.nlm.nih.gov/42806396/</w:t>
      </w:r>
    </w:p>
    <w:p>
      <w:pPr>
        <w:pStyle w:val="Heading2"/>
      </w:pPr>
      <w:r>
        <w:t>Mitochondriale Proteine prognostizieren Sepsis-Mortalität: 72-Stunden-Vorhersage möglich</w:t>
      </w:r>
    </w:p>
    <w:p>
      <w:r>
        <w:rPr>
          <w:i/>
          <w:color w:val="666666"/>
          <w:sz w:val="18"/>
        </w:rPr>
        <w:t>Meems CJ et al.  ·  Crit Care  ·  29.08.2026  ·  PMID 42806380</w:t>
      </w:r>
    </w:p>
    <w:p>
      <w:r>
        <w:t>Post-hoc-Analyse der Acutelines-Biobank mit 213 Sepsis-Patienten untersuchte, ob Plasmaprofile mitochondrial-assoziierter Proteine (232 aus 5.416 gemessenen) mit Schweregrad und Kurzzeitausgang verbunden sind.</w:t>
      </w:r>
    </w:p>
    <w:p>
      <w:r>
        <w:rPr>
          <w:b/>
        </w:rPr>
        <w:t xml:space="preserve">Ergebnis: </w:t>
      </w:r>
      <w:r>
        <w:t>Mitochondrial-Protein-Score korrelierte mit Schweregrad (Spearman ρ 0,18–0,29; p&lt;0,01) und schlechteren 72-h-Ergebnissen: Organversagen-freies Überleben OR 0,57 pro Standardabweichung; ICU-Aufnahme OR 1,66; Mortalität OR 2,36. Zwei Cluster identifiziert, aber eher kontinuierliches Spektrum als diskrete Subphänotypen.</w:t>
      </w:r>
    </w:p>
    <w:p>
      <w:r>
        <w:rPr>
          <w:b/>
          <w:sz w:val="19"/>
        </w:rPr>
        <w:t xml:space="preserve">Übertragbarkeit: </w:t>
      </w:r>
      <w:r>
        <w:rPr>
          <w:sz w:val="19"/>
        </w:rPr>
        <w:t>Niederlande, europäisches Gesundheitssystem, methodisch vergleichbar</w:t>
      </w:r>
    </w:p>
    <w:p>
      <w:r>
        <w:rPr>
          <w:color w:val="5A7D3A"/>
          <w:sz w:val="18"/>
        </w:rPr>
        <w:t>https://pubmed.ncbi.nlm.nih.gov/42806380/</w:t>
      </w:r>
    </w:p>
    <w:p>
      <w:pPr>
        <w:pStyle w:val="Heading2"/>
      </w:pPr>
      <w:r>
        <w:t>Bluttransfusion bei krebskranken Sepsis-Patienten: restrictive Strategie nicht unterlegen</w:t>
      </w:r>
    </w:p>
    <w:p>
      <w:r>
        <w:rPr>
          <w:i/>
          <w:color w:val="666666"/>
          <w:sz w:val="18"/>
        </w:rPr>
        <w:t>Pène F et al.  ·  Intensive Care Med  ·  19.08.2026  ·  PMID 42616082</w:t>
      </w:r>
    </w:p>
    <w:p>
      <w:r>
        <w:t>Randomisierte Studie (TRANSPORT) mit 187 Patienten mit Krebs und septischem Schock verglich liberale versus restrictive RBC-Transfusionsstrategie auf Basis Hämoglobin-Schwellenwerte.</w:t>
      </w:r>
    </w:p>
    <w:p>
      <w:r>
        <w:rPr>
          <w:b/>
        </w:rPr>
        <w:t xml:space="preserve">Ergebnis: </w:t>
      </w:r>
      <w:r>
        <w:t>Liberale Gruppe (Hb 9,0): 52% mit 12-h-Laktat-Reduktion. Restrictive Gruppe (Hb 7,0): 50% (OR 1,07; KI 0,60–1,90; p=0,82). Thrombotische Ereignisse liberale: 13% vs. restrictive 1% (p=0,001). 28-Tage-Mortalität 46% vs. 53% (p=0,34). Studie vorzeitig wegen Sicherheitsbedenken gestoppt.</w:t>
      </w:r>
    </w:p>
    <w:p>
      <w:r>
        <w:rPr>
          <w:b/>
          <w:sz w:val="19"/>
        </w:rPr>
        <w:t xml:space="preserve">Übertragbarkeit: </w:t>
      </w:r>
      <w:r>
        <w:rPr>
          <w:sz w:val="19"/>
        </w:rPr>
        <w:t>Frankreich, europäisches Gesundheitssystem, Design übertragbar</w:t>
      </w:r>
    </w:p>
    <w:p>
      <w:r>
        <w:rPr>
          <w:color w:val="5A7D3A"/>
          <w:sz w:val="18"/>
        </w:rPr>
        <w:t>https://pubmed.ncbi.nlm.nih.gov/42616082/</w:t>
      </w:r>
    </w:p>
    <w:p>
      <w:pPr>
        <w:pStyle w:val="Heading2"/>
      </w:pPr>
      <w:r>
        <w:t>Pandemie änderte Sterberisiko viraler Sepsis: französische ICU-Kohortenstudie</w:t>
      </w:r>
    </w:p>
    <w:p>
      <w:r>
        <w:rPr>
          <w:i/>
          <w:color w:val="666666"/>
          <w:sz w:val="18"/>
        </w:rPr>
        <w:t>Al Rahmoun M et al.  ·  Int J Infect Dis  ·  16.08.2026  ·  PMID 42604654</w:t>
      </w:r>
    </w:p>
    <w:p>
      <w:r>
        <w:t>Analyse von 604.517 Patienten auf französischen Intensivstationen zeigte, dass COVID-19-Pandemie die Mortalitätsassoziation zwischen viraler und bakterieller Sepsis umkehrte.</w:t>
      </w:r>
    </w:p>
    <w:p>
      <w:r>
        <w:rPr>
          <w:b/>
        </w:rPr>
        <w:t xml:space="preserve">Ergebnis: </w:t>
      </w:r>
      <w:r>
        <w:t>Präpandemisch: virale Sepsis mit reduzierter In-Hospital-Mortalität vs. bakterieller Sepsis (aOR 0,63 bis 0,67). Während Pandemie: virale Sepsis (überwiegend COVID-19) mit erhöhter Mortalität (aOR 1,41 mit Koinfektionen). Gesamtmortalität stationär 29,2%, 90-Tage-Mortalität 34,0%.</w:t>
      </w:r>
    </w:p>
    <w:p>
      <w:r>
        <w:rPr>
          <w:b/>
          <w:sz w:val="19"/>
        </w:rPr>
        <w:t xml:space="preserve">Übertragbarkeit: </w:t>
      </w:r>
      <w:r>
        <w:rPr>
          <w:sz w:val="19"/>
        </w:rPr>
        <w:t>Französische Kohortendaten, europäisches Gesundheitssystem, direkt übertragbar</w:t>
      </w:r>
    </w:p>
    <w:p>
      <w:r>
        <w:rPr>
          <w:color w:val="5A7D3A"/>
          <w:sz w:val="18"/>
        </w:rPr>
        <w:t>https://pubmed.ncbi.nlm.nih.gov/42604654/</w:t>
      </w:r>
    </w:p>
    <w:p>
      <w:pPr>
        <w:pStyle w:val="Heading1"/>
      </w:pPr>
      <w:r>
        <w:t>Aufgenommen am 29.09.2026</w:t>
      </w:r>
    </w:p>
    <w:p>
      <w:pPr>
        <w:pStyle w:val="Heading2"/>
      </w:pPr>
      <w:r>
        <w:t>Invasive Geräte und Zimmerbelegung mit CRE-Patienten verdoppeln Kolonisierungsrisiko in Langzeitpflege</w:t>
      </w:r>
    </w:p>
    <w:p>
      <w:r>
        <w:rPr>
          <w:i/>
          <w:color w:val="666666"/>
          <w:sz w:val="18"/>
        </w:rPr>
        <w:t>Hwang H et al.  ·  PLoS One  ·  28.09.2026  ·  PMID 42804487</w:t>
      </w:r>
    </w:p>
    <w:p>
      <w:r>
        <w:t>Prospektive aktive Überwachungsstudie an 140 Patienten in 4 südkoreanischen Langzeitkrankenhäusern (Nov. 2023 – Dez. 2024): Asymptomatic-CRE-Kolonisierungsprävalenz und Akquisitionsrisiken wurden untersucht.</w:t>
      </w:r>
    </w:p>
    <w:p>
      <w:r>
        <w:rPr>
          <w:b/>
        </w:rPr>
        <w:t xml:space="preserve">Ergebnis: </w:t>
      </w:r>
      <w:r>
        <w:t>Gesamtprävalenz: 24,3% (34/140); bei Neuzuweisungen 30,8%, bei Dauerpatienten 21,8%. Unter initial negativen Patienten: 8,6% erwarben CRE während Aufenthalt. Cox-Regression: invasive Geräte im letzten Jahr HR 9,83; vorherige Zimmerbelegung mit CRE-Positiven HR 5,01. KPC dominant (80%). Die Studie zeigt: Standardprecautions und zeitnahes Cohorting essentiell.</w:t>
      </w:r>
    </w:p>
    <w:p>
      <w:r>
        <w:rPr>
          <w:b/>
          <w:sz w:val="19"/>
        </w:rPr>
        <w:t xml:space="preserve">Übertragbarkeit: </w:t>
      </w:r>
      <w:r>
        <w:rPr>
          <w:sz w:val="19"/>
        </w:rPr>
        <w:t>Südkorea, vergleichbare Struktur langer Betreuung</w:t>
      </w:r>
    </w:p>
    <w:p>
      <w:r>
        <w:rPr>
          <w:color w:val="5A7D3A"/>
          <w:sz w:val="18"/>
        </w:rPr>
        <w:t>https://pubmed.ncbi.nlm.nih.gov/42804487/</w:t>
      </w:r>
    </w:p>
    <w:p>
      <w:pPr>
        <w:pStyle w:val="Heading2"/>
      </w:pPr>
      <w:r>
        <w:t>Frühzeitige hämodynamische Reaktion auf Dobutamin senkt Sepsissterblichkeit</w:t>
      </w:r>
    </w:p>
    <w:p>
      <w:r>
        <w:rPr>
          <w:i/>
          <w:color w:val="666666"/>
          <w:sz w:val="18"/>
        </w:rPr>
        <w:t>Tarbaghia M et al.  ·  Crit Care Explor  ·  01.10.2026  ·  PMID 42804358</w:t>
      </w:r>
    </w:p>
    <w:p>
      <w:r>
        <w:t>Retrospektive Kohortenstudie von 104 Patienten mit septischem Schock und Myokarddysfunktion: Hämodynamische Ansprechbarkeit auf Dobutamin (Steigerung der zentralvenösen O2-Sättigung um ≥5 Prozentpunkte plus Reduktion der Noradrenalin-Äquivalentdosis) wurde nach 2 Stunden definiert und mit 28-Tage-ICU-Mortalität verglichen.</w:t>
      </w:r>
    </w:p>
    <w:p>
      <w:r>
        <w:rPr>
          <w:b/>
        </w:rPr>
        <w:t xml:space="preserve">Ergebnis: </w:t>
      </w:r>
      <w:r>
        <w:t>37 Patienten (36%) waren Responder. Nach multivariater Anpassung war hämodynamische Response mit niedrigerer 28-Tage-ICU-Mortalität assoziiert (OR 0,18; 95%-KI 0,04–0,68; p=0,018): 41% Responder vs. 58% Non-Responder. Responder hatten mehr ICU-freie Tage (17 vs. 0). Baseline-Echokardiographieparameter identifizierten Responder nicht.</w:t>
      </w:r>
    </w:p>
    <w:p>
      <w:r>
        <w:rPr>
          <w:b/>
          <w:sz w:val="19"/>
        </w:rPr>
        <w:t xml:space="preserve">Übertragbarkeit: </w:t>
      </w:r>
      <w:r>
        <w:rPr>
          <w:sz w:val="19"/>
        </w:rPr>
        <w:t>USA; Sicherheitsbefund und Outcome-Hierarchie sind übertragbar</w:t>
      </w:r>
    </w:p>
    <w:p>
      <w:r>
        <w:rPr>
          <w:color w:val="5A7D3A"/>
          <w:sz w:val="18"/>
        </w:rPr>
        <w:t>https://pubmed.ncbi.nlm.nih.gov/42804358/</w:t>
      </w:r>
    </w:p>
    <w:p>
      <w:pPr>
        <w:pStyle w:val="Heading2"/>
      </w:pPr>
      <w:r>
        <w:t>Prehospital Fieber und gastrointestinale Symptome beeinflussen Antibiotikatiming bei Sepsis</w:t>
      </w:r>
    </w:p>
    <w:p>
      <w:r>
        <w:rPr>
          <w:i/>
          <w:color w:val="666666"/>
          <w:sz w:val="18"/>
        </w:rPr>
        <w:t>Conlon A et al.  ·  JAMA Netw Open  ·  01.09.2026  ·  PMID 42804206</w:t>
      </w:r>
    </w:p>
    <w:p>
      <w:r>
        <w:t>Kohortenstudie an 29.647 Patienten mit vermuteter bakterieller Sepsis: Präsentation mit Fieber erhöhte die Quote zeitiger Antibiotikagabe (≤3h bei Hypotonie, ≤5h ohne), gastrointestinale Symptome senkten sie; zeitige Antibiotika verbesserten 28-Tage-Mortalität auch nach Anpassung für Symptome.</w:t>
      </w:r>
    </w:p>
    <w:p>
      <w:r>
        <w:rPr>
          <w:b/>
        </w:rPr>
        <w:t xml:space="preserve">Ergebnis: </w:t>
      </w:r>
      <w:r>
        <w:t>Unter 6.704 Patienten mit Hypotonie erhielten 65,8% zeitig Antibiotika (innerhalb 3h); unter 22.942 ohne Hypotonie 76,5% (innerhalb 5h). Fieber war mit erhöhten Chancen zeitiger Antibiotika assoziiert (mit Hypotonie: aOR 1,34; ohne: aOR 1,26), gastrointestinale Symptome mit erniedrigten (aOR 0,84 bzw. 0,80). Zeitige Antibiotika: adjustierte absolute Mortalitätsdifferenz −2,10 Prozentpunkte. Die Studie zeigt: Klinische Präsentation steuert Erkennungsgeschwindigkeit, zeitige Therapie bleibt assoziiert mit besseren Outcomes.</w:t>
      </w:r>
    </w:p>
    <w:p>
      <w:r>
        <w:rPr>
          <w:b/>
          <w:sz w:val="19"/>
        </w:rPr>
        <w:t xml:space="preserve">Übertragbarkeit: </w:t>
      </w:r>
      <w:r>
        <w:rPr>
          <w:sz w:val="19"/>
        </w:rPr>
        <w:t>USA, Kohortendaten; nur Sicherheitsbefund ist übertragbar</w:t>
      </w:r>
    </w:p>
    <w:p>
      <w:r>
        <w:rPr>
          <w:color w:val="5A7D3A"/>
          <w:sz w:val="18"/>
        </w:rPr>
        <w:t>https://pubmed.ncbi.nlm.nih.gov/42804206/</w:t>
      </w:r>
    </w:p>
    <w:p>
      <w:pPr>
        <w:pStyle w:val="Heading2"/>
      </w:pPr>
      <w:r>
        <w:t>Systemischer Immun-Inflammations-Index senkt Antibiotikatage bei Neugeborenen-Sepsis um ein Drittel</w:t>
      </w:r>
    </w:p>
    <w:p>
      <w:r>
        <w:rPr>
          <w:i/>
          <w:color w:val="666666"/>
          <w:sz w:val="18"/>
        </w:rPr>
        <w:t>Gök ÇC et al.  ·  Eur J Pediatr  ·  28.09.2026  ·  PMID 42804011</w:t>
      </w:r>
    </w:p>
    <w:p>
      <w:r>
        <w:t>Retrospektive Kohortenstudie von 275 Neugeborenen (85 mit Blutkulturbewiesener früher Sepsis, 190 Kontrollen): SII als Marker für therapeutische Ansprechbarkeit und Antibiotic-Stewardship-Potenzial wurde bewertet.</w:t>
      </w:r>
    </w:p>
    <w:p>
      <w:r>
        <w:rPr>
          <w:b/>
        </w:rPr>
        <w:t xml:space="preserve">Ergebnis: </w:t>
      </w:r>
      <w:r>
        <w:t>Bei Diagnose: SII in Sepsisgruppe 812 (IQR 650–1120) vs. 515 (410–630) in Kontrollen; p&lt;0,001; AUC 0,87. Am Tag 3 zeigte SII schnellere Abnahme als CRP in 74,1% der Sepsisfälle. SII könnte schnell-Responder früh erkennen und sicher verkürzte Antibiotika-Kurse lenken – Unterschied zur tradierten CRP-Kinetik erheblich.</w:t>
      </w:r>
    </w:p>
    <w:p>
      <w:r>
        <w:rPr>
          <w:b/>
          <w:sz w:val="19"/>
        </w:rPr>
        <w:t xml:space="preserve">Übertragbarkeit: </w:t>
      </w:r>
      <w:r>
        <w:rPr>
          <w:sz w:val="19"/>
        </w:rPr>
        <w:t>Türkei; Sepsismarker sind länderübergreifend vergleichbar</w:t>
      </w:r>
    </w:p>
    <w:p>
      <w:r>
        <w:rPr>
          <w:color w:val="5A7D3A"/>
          <w:sz w:val="18"/>
        </w:rPr>
        <w:t>https://pubmed.ncbi.nlm.nih.gov/42804011/</w:t>
      </w:r>
    </w:p>
    <w:p>
      <w:pPr>
        <w:pStyle w:val="Heading2"/>
      </w:pPr>
      <w:r>
        <w:t>Scoring-Modell identifiziert Risiko für Endoskop-Reprocessing-Fehler mit 78% Spezifität</w:t>
      </w:r>
    </w:p>
    <w:p>
      <w:r>
        <w:rPr>
          <w:i/>
          <w:color w:val="666666"/>
          <w:sz w:val="18"/>
        </w:rPr>
        <w:t>Fang L et al.  ·  J Int Med Res  ·  28.09.2026  ·  PMID 42803735</w:t>
      </w:r>
    </w:p>
    <w:p>
      <w:r>
        <w:t>Retrospektive Observationsstudie an 2.744 Gastroskopie-Reprocessing-Zyklen in 3 chinesischen Zentren (Jan.–Dez. 2025): Ein Risikomodell wurde zur Vorhersage von Reprocessing-Fehlern entwickelt und intern validiert.</w:t>
      </w:r>
    </w:p>
    <w:p>
      <w:r>
        <w:rPr>
          <w:b/>
        </w:rPr>
        <w:t xml:space="preserve">Ergebnis: </w:t>
      </w:r>
      <w:r>
        <w:t>24,85% Fehlerquote (682/2.744). Sechs unabhängige Prädiktoren: Personal, Wascher-Desinfektor-Typ, Zubehör-Nutzungshäufigkeit, Reparaturvorgeschichte, Zeit bis Reprocessing, Personalalter. Scoring-Bereich −2 bis 18; AUC 0,834 (95%-KI 0,804–0,864) in Validierung. Bei Cutoff ≥10: Sensitivität 0,725, Spezifität 0,808, NPV 0,899. Praktisches System zur Früherkennung risikobehafteter Prozesse.</w:t>
      </w:r>
    </w:p>
    <w:p>
      <w:r>
        <w:rPr>
          <w:b/>
          <w:sz w:val="19"/>
        </w:rPr>
        <w:t xml:space="preserve">Übertragbarkeit: </w:t>
      </w:r>
      <w:r>
        <w:rPr>
          <w:sz w:val="19"/>
        </w:rPr>
        <w:t>China; externe Validierung notwendig</w:t>
      </w:r>
    </w:p>
    <w:p>
      <w:r>
        <w:rPr>
          <w:color w:val="5A7D3A"/>
          <w:sz w:val="18"/>
        </w:rPr>
        <w:t>https://pubmed.ncbi.nlm.nih.gov/42803735/</w:t>
      </w:r>
    </w:p>
    <w:p>
      <w:pPr>
        <w:pStyle w:val="Heading2"/>
      </w:pPr>
      <w:r>
        <w:t>Risikoscores für Tuberkulose-Medikamentennebenwirkungen zeigen moderate Diskriminierung, aber hohe Bias</w:t>
      </w:r>
    </w:p>
    <w:p>
      <w:r>
        <w:rPr>
          <w:i/>
          <w:color w:val="666666"/>
          <w:sz w:val="18"/>
        </w:rPr>
        <w:t>Li H et al.  ·  Front Public Health  ·  11.09.2026  ·  PMID 42798580</w:t>
      </w:r>
    </w:p>
    <w:p>
      <w:r>
        <w:t>Systematische Übersicht und Metaanalyse von 26 Studien (31 Modelle, n≈41.734) zu Vorhersagemodellen für medikamenteninduzierte Leberschädigung unter Anti-TB-Therapie in Ostasien: Validierung, Bias und Diskriminationsfähigkeit wurden bewertet.</w:t>
      </w:r>
    </w:p>
    <w:p>
      <w:r>
        <w:rPr>
          <w:b/>
        </w:rPr>
        <w:t xml:space="preserve">Ergebnis: </w:t>
      </w:r>
      <w:r>
        <w:t>Gepoolte AUC=0,81 (0,624–1,0 im Einzelnen). Nur eine Studie mit niedrigem Bias-Risiko; alle anderen mit hohem Risiko wegen fehlerhafter Datenbehandlung und univariater Prädiktorenauswahl. Risikofaktoren (p&lt;0,05): Lebererkrankungen, extrapulmonale TB, Alter ≥60, Alkohol, Komorbiditäten, Rückfallbehandlung, erhöhte AST, Diabetes, Rauchen. Uric acid inverse assoziiert. Hepatoprotektive Mittel zeigten keine Wirkung.</w:t>
      </w:r>
    </w:p>
    <w:p>
      <w:r>
        <w:rPr>
          <w:b/>
          <w:sz w:val="19"/>
        </w:rPr>
        <w:t xml:space="preserve">Übertragbarkeit: </w:t>
      </w:r>
      <w:r>
        <w:rPr>
          <w:sz w:val="19"/>
        </w:rPr>
        <w:t>Ostasien; methodische Schwächen begrenzen Anwendbarkeit</w:t>
      </w:r>
    </w:p>
    <w:p>
      <w:r>
        <w:rPr>
          <w:color w:val="5A7D3A"/>
          <w:sz w:val="18"/>
        </w:rPr>
        <w:t>https://pubmed.ncbi.nlm.nih.gov/42798580/</w:t>
      </w:r>
    </w:p>
    <w:p>
      <w:pPr>
        <w:pStyle w:val="Heading2"/>
      </w:pPr>
      <w:r>
        <w:t>Candida-parapsilosis-Fungämien auf Intensivstationen: resistenzabhängig höhere Sterblichkeit, keine schnellere Therapie hilft</w:t>
      </w:r>
    </w:p>
    <w:p>
      <w:r>
        <w:rPr>
          <w:i/>
          <w:color w:val="666666"/>
          <w:sz w:val="18"/>
        </w:rPr>
        <w:t>Katsiari M et al.  ·  Pathogens  ·  13.07.2026  ·  PMID 42515061</w:t>
      </w:r>
    </w:p>
    <w:p>
      <w:r>
        <w:t>Retrospektive Observationsstudie von 90 ICU-Patienten mit Candidämie (Athen, Griechenland): Speziesverteilung, Fluconazol-Resistenzen und Mortalitätsassoziationen wurden über ein Jahrzehnt verfolgt.</w:t>
      </w:r>
    </w:p>
    <w:p>
      <w:r>
        <w:rPr>
          <w:b/>
        </w:rPr>
        <w:t xml:space="preserve">Ergebnis: </w:t>
      </w:r>
      <w:r>
        <w:t>C. parapsilosis 33,7% (41,9% fluconazol-resistent), C. albicans 31,5%, C. auris 23,9%. Non-albicans-Bacteraemia trat später auf, mit niedrigerer Severity, aber fünffacher Vortherapie mit Antimykotika. Gesamtmortalität 53,3%; kein signifikanter Art-Unterschied. Weder prompte Therapie noch Antimykotikaklasse waren mit besserer Überlebenschance assoziiert. Mangelnde Effektivität therapeutischer Timing-Strategien.</w:t>
      </w:r>
    </w:p>
    <w:p>
      <w:r>
        <w:rPr>
          <w:b/>
          <w:sz w:val="19"/>
        </w:rPr>
        <w:t xml:space="preserve">Übertragbarkeit: </w:t>
      </w:r>
      <w:r>
        <w:rPr>
          <w:sz w:val="19"/>
        </w:rPr>
        <w:t>Griechenland (Europa); comparable ICU-Praxis</w:t>
      </w:r>
    </w:p>
    <w:p>
      <w:r>
        <w:rPr>
          <w:color w:val="5A7D3A"/>
          <w:sz w:val="18"/>
        </w:rPr>
        <w:t>https://pubmed.ncbi.nlm.nih.gov/42515061/</w:t>
      </w:r>
    </w:p>
    <w:p>
      <w:pPr>
        <w:pStyle w:val="Heading1"/>
      </w:pPr>
      <w:r>
        <w:t>Aufgenommen am 28.09.2026</w:t>
      </w:r>
    </w:p>
    <w:p>
      <w:pPr>
        <w:pStyle w:val="Heading2"/>
      </w:pPr>
      <w:r>
        <w:t>Unangemessene Empirikatherapie bei Blutvergiftung: Muster und vermeidbare Fehler</w:t>
      </w:r>
    </w:p>
    <w:p>
      <w:r>
        <w:rPr>
          <w:i/>
          <w:color w:val="666666"/>
          <w:sz w:val="18"/>
        </w:rPr>
        <w:t>Komori A et al.  ·  Medicine (Baltimore)  ·  25.09.2026  ·  PMID 42798086</w:t>
      </w:r>
    </w:p>
    <w:p>
      <w:r>
        <w:t>Retrospektive Analyse von Sepsispatienten in der Notaufnahme, die Antibiotika vor Kulturbefund erhielten, aber gegen den später isolierten Erreger unwirksam waren.</w:t>
      </w:r>
    </w:p>
    <w:p>
      <w:r>
        <w:rPr>
          <w:b/>
        </w:rPr>
        <w:t xml:space="preserve">Ergebnis: </w:t>
      </w:r>
      <w:r>
        <w:t>Von 118 Bacterämiepatienten erhielten 11 (9,3%) mikrobiologisch unangemessene Initialtherapie. Hauptursachen: Extended-Spectrum-β-Lactamase-Enterobakterien trotz richtiger Fokusdiagnose (mehrheitlich) oder Fehlidentifikation des Infektionsfokus. Mortalität höher bei falscher Fokusdiagnose.</w:t>
      </w:r>
    </w:p>
    <w:p>
      <w:r>
        <w:rPr>
          <w:b/>
          <w:sz w:val="19"/>
        </w:rPr>
        <w:t xml:space="preserve">Übertragbarkeit: </w:t>
      </w:r>
      <w:r>
        <w:rPr>
          <w:sz w:val="19"/>
        </w:rPr>
        <w:t>Japan-Studie, aber Befund zur Source-Kontrol und Stewardship übertragbar auf deutsche Notaufnahmen.</w:t>
      </w:r>
    </w:p>
    <w:p>
      <w:r>
        <w:rPr>
          <w:color w:val="5A7D3A"/>
          <w:sz w:val="18"/>
        </w:rPr>
        <w:t>https://pubmed.ncbi.nlm.nih.gov/42798086/</w:t>
      </w:r>
    </w:p>
    <w:p>
      <w:pPr>
        <w:pStyle w:val="Heading2"/>
      </w:pPr>
      <w:r>
        <w:t>Bakterielle Kontamination von Skalpellen und Instrumenten: Schaden ohne Folgen im Operationssaal</w:t>
      </w:r>
    </w:p>
    <w:p>
      <w:r>
        <w:rPr>
          <w:i/>
          <w:color w:val="666666"/>
          <w:sz w:val="18"/>
        </w:rPr>
        <w:t>Liang GH et al.  ·  Medicine (Baltimore)  ·  25.09.2026  ·  PMID 42798037</w:t>
      </w:r>
    </w:p>
    <w:p>
      <w:r>
        <w:t>Prospektive Studie zur Häufigkeit und Art intraoperativer bakterieller Kontamination bei Gelenkersatzoperationen und deren Bezug zu postoperativen Infektionen.</w:t>
      </w:r>
    </w:p>
    <w:p>
      <w:r>
        <w:rPr>
          <w:b/>
        </w:rPr>
        <w:t xml:space="preserve">Ergebnis: </w:t>
      </w:r>
      <w:r>
        <w:t>13 von 127 Patienten (10,2%) hatten mindestens eine positive Bakterienkultur von OP-Instrumenten (Skalpell Inzision 5,9%, Kontrolle 1,7%). Kein Unterschied in Patientencharakteristika zwischen kontaminiert und nicht-kontaminiert. In 24–38 Monaten Follow-up: null postoperative Infektionen, null periprosthetische Gelenkinfektionen. Kontamination ≠ klinische Infektion.</w:t>
      </w:r>
    </w:p>
    <w:p>
      <w:r>
        <w:rPr>
          <w:b/>
          <w:sz w:val="19"/>
        </w:rPr>
        <w:t xml:space="preserve">Übertragbarkeit: </w:t>
      </w:r>
      <w:r>
        <w:rPr>
          <w:sz w:val="19"/>
        </w:rPr>
        <w:t>China-Studie, Standardhygiene vergleichbar mit deutschem System, Surveillance-Meldepflicht.</w:t>
      </w:r>
    </w:p>
    <w:p>
      <w:r>
        <w:rPr>
          <w:color w:val="5A7D3A"/>
          <w:sz w:val="18"/>
        </w:rPr>
        <w:t>https://pubmed.ncbi.nlm.nih.gov/42798037/</w:t>
      </w:r>
    </w:p>
    <w:p>
      <w:pPr>
        <w:pStyle w:val="Heading2"/>
      </w:pPr>
      <w:r>
        <w:t>Ralstonia-Ausbruch auf Neonatologie: Kontaminiertes Wasser als vermeidbarer Schaden</w:t>
      </w:r>
    </w:p>
    <w:p>
      <w:r>
        <w:rPr>
          <w:i/>
          <w:color w:val="666666"/>
          <w:sz w:val="18"/>
        </w:rPr>
        <w:t>Uygun SS et al.  ·  Pathogens  ·  08.09.2026  ·  PMID 42796721</w:t>
      </w:r>
    </w:p>
    <w:p>
      <w:r>
        <w:t>Ausbruchuntersuchung nosokomialer Ralstonia-pickettii-Infektionen bei Neugeborenen, deren Quelle kontaminiertes steriles destilliertes Wasser war.</w:t>
      </w:r>
    </w:p>
    <w:p>
      <w:r>
        <w:rPr>
          <w:b/>
        </w:rPr>
        <w:t xml:space="preserve">Ergebnis: </w:t>
      </w:r>
      <w:r>
        <w:t>9 infizierte Neugeborene über 22 Monate, Mortalität 44,4%, davon 11,1% direkt zurechenbar. Nach Wasserwechsel und Infektionskontrollmaßnahmen keine weiteren Fälle. AP-PCR bestätigte genetische Verwandtschaft klinischer und Umweltproben.</w:t>
      </w:r>
    </w:p>
    <w:p>
      <w:r>
        <w:rPr>
          <w:b/>
          <w:sz w:val="19"/>
        </w:rPr>
        <w:t xml:space="preserve">Übertragbarkeit: </w:t>
      </w:r>
      <w:r>
        <w:rPr>
          <w:sz w:val="19"/>
        </w:rPr>
        <w:t>Deutschland: Vergleichbares Hygienemanagementsystem, Infektionsschutzgesetz mit Ausbruchsmeldepflicht.</w:t>
      </w:r>
    </w:p>
    <w:p>
      <w:r>
        <w:rPr>
          <w:color w:val="5A7D3A"/>
          <w:sz w:val="18"/>
        </w:rPr>
        <w:t>https://pubmed.ncbi.nlm.nih.gov/42796721/</w:t>
      </w:r>
    </w:p>
    <w:p>
      <w:pPr>
        <w:pStyle w:val="Heading2"/>
      </w:pPr>
      <w:r>
        <w:t>Sicherheitskultur in der Infektionskontrolle: Editorial ohne Studiendaten</w:t>
      </w:r>
    </w:p>
    <w:p>
      <w:r>
        <w:rPr>
          <w:i/>
          <w:color w:val="666666"/>
          <w:sz w:val="18"/>
        </w:rPr>
        <w:t>Azoicăi D et al.  ·  Medicina (Kaunas)  ·  06.09.2026  ·  PMID 42796314</w:t>
      </w:r>
    </w:p>
    <w:p>
      <w:r>
        <w:t>Redaktioneller Kommentar zur WHO-Warnung vor Eskalation von Infektionsrisiken und Antimikrobielles Stewardship, ohne Studienergebnisse.</w:t>
      </w:r>
    </w:p>
    <w:p>
      <w:r>
        <w:rPr>
          <w:b/>
        </w:rPr>
        <w:t xml:space="preserve">Ergebnis: </w:t>
      </w:r>
      <w:r>
        <w:t>Keine konkreten Ergebnisse, nur Warnung vor neu auftretenden und erneut auftretenden Infektionskrankheiten.</w:t>
      </w:r>
    </w:p>
    <w:p>
      <w:r>
        <w:rPr>
          <w:b/>
          <w:sz w:val="19"/>
        </w:rPr>
        <w:t xml:space="preserve">Übertragbarkeit: </w:t>
      </w:r>
      <w:r>
        <w:rPr>
          <w:sz w:val="19"/>
        </w:rPr>
        <w:t>Nicht qualifizierend: Expertenpapier ohne benennbare Ergebnisse.</w:t>
      </w:r>
    </w:p>
    <w:p>
      <w:r>
        <w:rPr>
          <w:color w:val="5A7D3A"/>
          <w:sz w:val="18"/>
        </w:rPr>
        <w:t>https://pubmed.ncbi.nlm.nih.gov/42796314/</w:t>
      </w:r>
    </w:p>
    <w:p>
      <w:pPr>
        <w:pStyle w:val="Heading2"/>
      </w:pPr>
      <w:r>
        <w:t>Mundhygiene und Handwaschen bei Adoleszenten: Verhaltensunterschiede nach Geschlecht und Einkommen</w:t>
      </w:r>
    </w:p>
    <w:p>
      <w:r>
        <w:rPr>
          <w:i/>
          <w:color w:val="666666"/>
          <w:sz w:val="18"/>
        </w:rPr>
        <w:t>Huang Z et al.  ·  Front Public Health  ·  10.09.2026  ·  PMID 42787371</w:t>
      </w:r>
    </w:p>
    <w:p>
      <w:r>
        <w:t>Querschnittsstudie aus 72 Ländern mit 244.040 Schülern (Global School-based Student Health Survey 2010–2019): Unterschiede in Zahnpflege und Händewaschen nach Geschlecht, Alter, Region und Einkommensniveau.</w:t>
      </w:r>
    </w:p>
    <w:p>
      <w:r>
        <w:rPr>
          <w:b/>
        </w:rPr>
        <w:t xml:space="preserve">Ergebnis: </w:t>
      </w:r>
      <w:r>
        <w:t>Zähneputzen &lt;1×/Tag: 10,9% (95%-KI 10,0–11,8), ≥2×/Tag: 70,5%. Nie/selten Hände vor Essen waschen: 6,5%, nach Toilette: 5,5%, ohne Seife: 9,0%. Jungen schlechter (z.B. &lt;1×/Tag putzen: 13,1% vs. Mädchen 8,6%). Ostmittelmeerregion höchste Prävalenz unzureichenden Zähnebürstens (30,7%). Einkommungradient für Zähneputzen (arm 12,5% → reich 4,4%), nicht für Händewaschen.</w:t>
      </w:r>
    </w:p>
    <w:p>
      <w:r>
        <w:rPr>
          <w:b/>
          <w:sz w:val="19"/>
        </w:rPr>
        <w:t xml:space="preserve">Übertragbarkeit: </w:t>
      </w:r>
      <w:r>
        <w:rPr>
          <w:sz w:val="19"/>
        </w:rPr>
        <w:t>72-Länder-Daten, aber Hygiene-Outcomes nicht auf nosokominale Infektionen, Schaden oder Versorgungsfehler bezogen.</w:t>
      </w:r>
    </w:p>
    <w:p>
      <w:r>
        <w:rPr>
          <w:color w:val="5A7D3A"/>
          <w:sz w:val="18"/>
        </w:rPr>
        <w:t>https://pubmed.ncbi.nlm.nih.gov/42787371/</w:t>
      </w:r>
    </w:p>
    <w:p>
      <w:pPr>
        <w:pStyle w:val="Heading2"/>
      </w:pPr>
      <w:r>
        <w:t>TNF-α-Test für Sepsiserkennung in der Notaufnahme: niedriges Vorhersagevermögen bleibt unsicher</w:t>
      </w:r>
    </w:p>
    <w:p>
      <w:r>
        <w:rPr>
          <w:i/>
          <w:color w:val="666666"/>
          <w:sz w:val="18"/>
        </w:rPr>
        <w:t>Cisteró B et al.  ·  Front Immunol  ·  10.09.2026  ·  PMID 42787037</w:t>
      </w:r>
    </w:p>
    <w:p>
      <w:r>
        <w:t>Prospektive Kohortenstudie: Bluttests auf Lipopolysaccharid-induzierte TNF-α-Freisetzung bei Notaufnahmepatienten mit Verdacht auf Infektion zur frühen Sepsis-Erkennung.</w:t>
      </w:r>
    </w:p>
    <w:p>
      <w:r>
        <w:rPr>
          <w:b/>
        </w:rPr>
        <w:t xml:space="preserve">Ergebnis: </w:t>
      </w:r>
      <w:r>
        <w:t>203 Patienten, 142 mit Sepsis-3 in 24 h diagnostiziert. Negative Tests in 75% häufig. Test-Sensitivität 78,9% (95%-KI 71,4–84,8), Spezifität 39,5% (95%-KI 25,6–55,3) für Sepsis-3. Nach Anpassung für Alter und qSOFA: OR 2,94 (95%-KI 1,28–6,75, p=0,011). Autoren beurteilen Test als ergänzend, nicht eigenständig aussagekräftig.</w:t>
      </w:r>
    </w:p>
    <w:p>
      <w:r>
        <w:rPr>
          <w:b/>
          <w:sz w:val="19"/>
        </w:rPr>
        <w:t xml:space="preserve">Übertragbarkeit: </w:t>
      </w:r>
      <w:r>
        <w:rPr>
          <w:sz w:val="19"/>
        </w:rPr>
        <w:t>Spanien: Notaufnahme-Setting vergleichbar, aber externe Validierung ausstehend.</w:t>
      </w:r>
    </w:p>
    <w:p>
      <w:r>
        <w:rPr>
          <w:color w:val="5A7D3A"/>
          <w:sz w:val="18"/>
        </w:rPr>
        <w:t>https://pubmed.ncbi.nlm.nih.gov/42787037/</w:t>
      </w:r>
    </w:p>
    <w:p>
      <w:pPr>
        <w:pStyle w:val="Heading2"/>
      </w:pPr>
      <w:r>
        <w:t>Rotschimmel-Supplements: seltene Nebenwirkungen, aber niedriges Meldesystem</w:t>
      </w:r>
    </w:p>
    <w:p>
      <w:r>
        <w:rPr>
          <w:i/>
          <w:color w:val="666666"/>
          <w:sz w:val="18"/>
        </w:rPr>
        <w:t>Cicero AFG et al.  ·  Nutrients  ·  14.07.2026  ·  PMID 42514371</w:t>
      </w:r>
    </w:p>
    <w:p>
      <w:r>
        <w:t>Strukturiertes europäisches Spontan-Meldesystem für Nebenwirkungen von Nahrungsergänzungsmitteln aus Rotem Schimmel bei leichter bis mäßiger Hypercholesterinämie.</w:t>
      </w:r>
    </w:p>
    <w:p>
      <w:r>
        <w:rPr>
          <w:b/>
        </w:rPr>
        <w:t xml:space="preserve">Ergebnis: </w:t>
      </w:r>
      <w:r>
        <w:t>148 Nebenwirkungsberichte von 12 europäischen Ländern (2022–2024), geschätzte Exposition 608.815 Patientenzeiträume. Gastrointestinale Ereignisse 45,9%, Arthromyalgie 16,9%, Überempfindlichkeit 10,8%. Schwere/ernsthafte Ereignisse 0,7%/1,4%. Geschätztes exposure-adjustiertes Melderisiko: 0,02% für alle, 0,0003% für ernsthafte Nebenwirkungen.</w:t>
      </w:r>
    </w:p>
    <w:p>
      <w:r>
        <w:rPr>
          <w:b/>
          <w:sz w:val="19"/>
        </w:rPr>
        <w:t xml:space="preserve">Übertragbarkeit: </w:t>
      </w:r>
      <w:r>
        <w:rPr>
          <w:sz w:val="19"/>
        </w:rPr>
        <w:t>Deutschland/DACH: Italienische, europäische Daten aus vergleichbarem Supplement-Regulierungssystem.</w:t>
      </w:r>
    </w:p>
    <w:p>
      <w:r>
        <w:rPr>
          <w:color w:val="5A7D3A"/>
          <w:sz w:val="18"/>
        </w:rPr>
        <w:t>https://pubmed.ncbi.nlm.nih.gov/42514371/</w:t>
      </w:r>
    </w:p>
    <w:p>
      <w:pPr>
        <w:pStyle w:val="Heading1"/>
      </w:pPr>
      <w:r>
        <w:t>Aufgenommen am 27.09.2026</w:t>
      </w:r>
    </w:p>
    <w:p>
      <w:pPr>
        <w:pStyle w:val="Heading2"/>
      </w:pPr>
      <w:r>
        <w:t>Pflegeanfänger erkennen Medikationsfehler und Stürze, benötigen aber Kultur der psychologischen Sicherheit</w:t>
      </w:r>
    </w:p>
    <w:p>
      <w:r>
        <w:rPr>
          <w:i/>
          <w:color w:val="666666"/>
          <w:sz w:val="18"/>
        </w:rPr>
        <w:t>Kohanová D et al.  ·  Nurs Health Sci  ·  Dez. 2026  ·  PMID 42799319</w:t>
      </w:r>
    </w:p>
    <w:p>
      <w:r>
        <w:t>Qualitative Sekundäranalyse von 1.442 Studierenden aus vier Ländern (Tschechien, Italien, Slowakei, Türkei), die über Patientsicherheitsvorfälle während Klinischer Praktika berichteten.</w:t>
      </w:r>
    </w:p>
    <w:p>
      <w:r>
        <w:rPr>
          <w:b/>
        </w:rPr>
        <w:t xml:space="preserve">Ergebnis: </w:t>
      </w:r>
      <w:r>
        <w:t>287 Vorfallbeschreibungen analysiert; am häufigsten: Medikationsfehler und Patientenstürze, gefolgt von Infektionsprävention, Kommunikationsfehler, unzureichende Betreuung. Studierende benannten multifaktoriale Ursachen (Patient, Kontext, Organisation, Mensch). Empfehlungen: strukturierte Debriefings, klare Meldekanäle, psychologisch sichere, nicht-punitiv gestaltete Lernumgebungen.</w:t>
      </w:r>
    </w:p>
    <w:p>
      <w:r>
        <w:rPr>
          <w:b/>
          <w:sz w:val="19"/>
        </w:rPr>
        <w:t xml:space="preserve">Übertragbarkeit: </w:t>
      </w:r>
      <w:r>
        <w:rPr>
          <w:sz w:val="19"/>
        </w:rPr>
        <w:t>Mitteleuropa und Südosteuropa, ähnliche Ausbildungsstrukturen</w:t>
      </w:r>
    </w:p>
    <w:p>
      <w:r>
        <w:rPr>
          <w:color w:val="5A7D3A"/>
          <w:sz w:val="18"/>
        </w:rPr>
        <w:t>https://pubmed.ncbi.nlm.nih.gov/42799319/</w:t>
      </w:r>
    </w:p>
    <w:p>
      <w:pPr>
        <w:pStyle w:val="Heading2"/>
      </w:pPr>
      <w:r>
        <w:t>Unangemessene Medikationen bei Älteren in der Primärversorgung: Häufigkeit und Risikofaktoren</w:t>
      </w:r>
    </w:p>
    <w:p>
      <w:r>
        <w:rPr>
          <w:i/>
          <w:color w:val="666666"/>
          <w:sz w:val="18"/>
        </w:rPr>
        <w:t>Paraschiv M et al.  ·  Medicina (Kaunas)  ·  20.09.2026  ·  PMID 42796419</w:t>
      </w:r>
    </w:p>
    <w:p>
      <w:r>
        <w:t>Retrospektive Beobachtungsstudie an 100 Patienten ≥65 Jahren in einer rumänischen Hausarztpraxis, die potenziell unangemessene Medikationen (PIM) nach vier etablierten Kriterien (STOPP v3, Beers, EU(7)-PIM, PRISCUS v2) identifizierte.</w:t>
      </w:r>
    </w:p>
    <w:p>
      <w:r>
        <w:rPr>
          <w:b/>
        </w:rPr>
        <w:t xml:space="preserve">Ergebnis: </w:t>
      </w:r>
      <w:r>
        <w:t>Mindestens eine PIM fanden sich bei 73% (STOPP), 62% (Beers), 60% (EU(7)-PIM) und 53% (PRISCUS) der Patienten. STOPP identifizierte signifikant mehr PIMs als die anderen Kriterien (p&lt;0,001). Medikamentenlast war in adjustierten Analysen der konsistenteste Risikofaktor für alle Kriterien.</w:t>
      </w:r>
    </w:p>
    <w:p>
      <w:r>
        <w:rPr>
          <w:b/>
          <w:sz w:val="19"/>
        </w:rPr>
        <w:t xml:space="preserve">Übertragbarkeit: </w:t>
      </w:r>
      <w:r>
        <w:rPr>
          <w:sz w:val="19"/>
        </w:rPr>
        <w:t>Rumänische Primärversorgung, ähnliche Versicherungssysteme wie Deutschland</w:t>
      </w:r>
    </w:p>
    <w:p>
      <w:r>
        <w:rPr>
          <w:color w:val="5A7D3A"/>
          <w:sz w:val="18"/>
        </w:rPr>
        <w:t>https://pubmed.ncbi.nlm.nih.gov/42796419/</w:t>
      </w:r>
    </w:p>
    <w:p>
      <w:pPr>
        <w:pStyle w:val="Heading2"/>
      </w:pPr>
      <w:r>
        <w:t>Antimikrobielles Stewardship senkt MRSA und multiresistente Enterobakterien</w:t>
      </w:r>
    </w:p>
    <w:p>
      <w:r>
        <w:rPr>
          <w:i/>
          <w:color w:val="666666"/>
          <w:sz w:val="18"/>
        </w:rPr>
        <w:t>Grindean A et al.  ·  Medicina (Kaunas)  ·  11.09.2026  ·  PMID 42796362</w:t>
      </w:r>
    </w:p>
    <w:p>
      <w:r>
        <w:t>Retrospektive Langzeitstudie 2023–2025 eines rumänischen Krankenhauses, die Auswirkungen erhöhter mikrobiologischer Testung und gezieltem Stewardship auf Antibiotikaresistenzen untersuchte.</w:t>
      </w:r>
    </w:p>
    <w:p>
      <w:r>
        <w:rPr>
          <w:b/>
        </w:rPr>
        <w:t xml:space="preserve">Ergebnis: </w:t>
      </w:r>
      <w:r>
        <w:t>E.-coli-MDR sank von 7,4% (Sem. II 2023) auf 0,0% (Sem. II 2025); S.-aureus-MRSA+MLSB von 30,6% auf 0,0%. Mikrobiologische Testintensität stieg von 18,05% auf 28,20%. Durchschnittliche Liegedauer bei Infektionen 15,35 Tage, auf chirurgischen Stationen 20,80 Tage.</w:t>
      </w:r>
    </w:p>
    <w:p>
      <w:r>
        <w:rPr>
          <w:b/>
          <w:sz w:val="19"/>
        </w:rPr>
        <w:t xml:space="preserve">Übertragbarkeit: </w:t>
      </w:r>
      <w:r>
        <w:rPr>
          <w:sz w:val="19"/>
        </w:rPr>
        <w:t>Europäisches Krankenhaus, vergleichbare Hygiene- und Qualitätsziele</w:t>
      </w:r>
    </w:p>
    <w:p>
      <w:r>
        <w:rPr>
          <w:color w:val="5A7D3A"/>
          <w:sz w:val="18"/>
        </w:rPr>
        <w:t>https://pubmed.ncbi.nlm.nih.gov/42796362/</w:t>
      </w:r>
    </w:p>
    <w:p>
      <w:pPr>
        <w:pStyle w:val="Heading2"/>
      </w:pPr>
      <w:r>
        <w:t>Interklinischer Transport bei Neugeborenen-Sepsis: Versorgungskette unterbrochen, Forschung fehlt</w:t>
      </w:r>
    </w:p>
    <w:p>
      <w:r>
        <w:rPr>
          <w:i/>
          <w:color w:val="666666"/>
          <w:sz w:val="18"/>
        </w:rPr>
        <w:t>Damian RO et al.  ·  Medicina (Kaunas)  ·  11.09.2026  ·  PMID 42796359</w:t>
      </w:r>
    </w:p>
    <w:p>
      <w:r>
        <w:t>Scoping Review (39 Quellen, 2020–2026) zu Variablen, Interventionen und Organisationspraktiken beim interklinischen Neugeborenen-Transport im Kontext von Sepsis-Früherkennung und -Behandlung.</w:t>
      </w:r>
    </w:p>
    <w:p>
      <w:r>
        <w:rPr>
          <w:b/>
        </w:rPr>
        <w:t xml:space="preserve">Ergebnis: </w:t>
      </w:r>
      <w:r>
        <w:t>24 indirekt-klinische, 7 indirekt-organisatorische, 4 indirekt-technische, 1 indirekt-experienzielle und 3 direkt-prozess/indirekt-sepsis-Ergebnis-Quellen. Keine Studie zeigte, dass eine Transport-Intervention unabhängig Sepsis-Ergebnisse verbessert. Antimikrobielles Timing, Kulturen, Perfusionsverlauf und strukturierte Handover unterrepräsentiert.</w:t>
      </w:r>
    </w:p>
    <w:p>
      <w:r>
        <w:rPr>
          <w:b/>
          <w:sz w:val="19"/>
        </w:rPr>
        <w:t xml:space="preserve">Übertragbarkeit: </w:t>
      </w:r>
      <w:r>
        <w:rPr>
          <w:sz w:val="19"/>
        </w:rPr>
        <w:t>Mehrere europäische Länder eingeschlossen, Organisationslücke übertragbar auf Deutschland</w:t>
      </w:r>
    </w:p>
    <w:p>
      <w:r>
        <w:rPr>
          <w:color w:val="5A7D3A"/>
          <w:sz w:val="18"/>
        </w:rPr>
        <w:t>https://pubmed.ncbi.nlm.nih.gov/42796359/</w:t>
      </w:r>
    </w:p>
    <w:p>
      <w:pPr>
        <w:pStyle w:val="Heading2"/>
      </w:pPr>
      <w:r>
        <w:t>Patientensicherheits-Screening vor bildgebenden Verfahren: Papierformulare dominieren, Standardisierung fehlt</w:t>
      </w:r>
    </w:p>
    <w:p>
      <w:r>
        <w:rPr>
          <w:i/>
          <w:color w:val="666666"/>
          <w:sz w:val="18"/>
        </w:rPr>
        <w:t>Mallinson MA et al.  ·  J Eval Clin Pract  ·  Sept. 2026  ·  PMID 42788779</w:t>
      </w:r>
    </w:p>
    <w:p>
      <w:r>
        <w:t>Freiheitsinformation-Anfrage an 129 englische NHS-Krankenhäuser und private Anbieter zur Nutzung und Gestaltung von Sicherheits-Screening-Formularen vor Diagnostischer Bildgebung.</w:t>
      </w:r>
    </w:p>
    <w:p>
      <w:r>
        <w:rPr>
          <w:b/>
        </w:rPr>
        <w:t xml:space="preserve">Ergebnis: </w:t>
      </w:r>
      <w:r>
        <w:t>Rücklaufquote 83,2%; 91,3% der NHS-Organisationen antworteten. 55,8% beantworteten innerhalb der erwarteten 20 Arbeitstage. Die Mehrheit nutzt Papierformulare; nur eine Organisation setzte vollständig auf digitale Formulare. Erhebliche Inkonsistenzen in Design und Interpretation berichtet.</w:t>
      </w:r>
    </w:p>
    <w:p>
      <w:r>
        <w:rPr>
          <w:b/>
          <w:sz w:val="19"/>
        </w:rPr>
        <w:t xml:space="preserve">Übertragbarkeit: </w:t>
      </w:r>
      <w:r>
        <w:rPr>
          <w:sz w:val="19"/>
        </w:rPr>
        <w:t>Großbritannien (NHS), andere Versorgungsstrukturen, aber vergleichbare Sicherheitsprobleme</w:t>
      </w:r>
    </w:p>
    <w:p>
      <w:r>
        <w:rPr>
          <w:color w:val="5A7D3A"/>
          <w:sz w:val="18"/>
        </w:rPr>
        <w:t>https://pubmed.ncbi.nlm.nih.gov/42788779/</w:t>
      </w:r>
    </w:p>
    <w:p>
      <w:pPr>
        <w:pStyle w:val="Heading2"/>
      </w:pPr>
      <w:r>
        <w:t>Sepsis-Vorhersagemodell LiSep LSTM funktioniert in Europa wie in USA, aber Kalibrierung erforderlich</w:t>
      </w:r>
    </w:p>
    <w:p>
      <w:r>
        <w:rPr>
          <w:i/>
          <w:color w:val="666666"/>
          <w:sz w:val="18"/>
        </w:rPr>
        <w:t>Tan HK et al.  ·  Sci Rep  ·  10.09.2026  ·  PMID 42722695</w:t>
      </w:r>
    </w:p>
    <w:p>
      <w:r>
        <w:t>Validierungsstudie eines Tiefenlern-Modells (LiSep LSTM) zur frühen Vorhersage septischen Schocks, trainiert an US-Daten (MIMIC-III), getestet an europäischer Kohorte (Amsterdam UMC).</w:t>
      </w:r>
    </w:p>
    <w:p>
      <w:r>
        <w:rPr>
          <w:b/>
        </w:rPr>
        <w:t xml:space="preserve">Ergebnis: </w:t>
      </w:r>
      <w:r>
        <w:t>Auf AUMC-Kohorte: AUROC 0,8851 (95%-KI 0,8612–0,909) mit Medianen 47,0 h vor Symptombeginn. Externe Validierung zeigte reduzierte Kalibrierung und Rückruf; gepooltes Training verbesserte AUROC und Brier-Score. Genauigkeit 0,60–0,77, Präzision niedrig (0,01–0,17) aufgrund hoher Falsch-Positive.</w:t>
      </w:r>
    </w:p>
    <w:p>
      <w:r>
        <w:rPr>
          <w:b/>
          <w:sz w:val="19"/>
        </w:rPr>
        <w:t xml:space="preserve">Übertragbarkeit: </w:t>
      </w:r>
      <w:r>
        <w:rPr>
          <w:sz w:val="19"/>
        </w:rPr>
        <w:t>USA und Niederlande, externe Validierung ist übertragbar, Lokalanpassung notwendig</w:t>
      </w:r>
    </w:p>
    <w:p>
      <w:r>
        <w:rPr>
          <w:color w:val="5A7D3A"/>
          <w:sz w:val="18"/>
        </w:rPr>
        <w:t>https://pubmed.ncbi.nlm.nih.gov/42722695/</w:t>
      </w:r>
    </w:p>
    <w:p>
      <w:pPr>
        <w:pStyle w:val="Heading1"/>
      </w:pPr>
      <w:r>
        <w:t>Aufgenommen am 26.09.2026</w:t>
      </w:r>
    </w:p>
    <w:p>
      <w:pPr>
        <w:pStyle w:val="Heading2"/>
      </w:pPr>
      <w:r>
        <w:t>Glow-Licht-Audit verbessserte Händehygiene-Qualität im NICU um 87 % - von 19,7 % auf 37 % Fehlerfreiheit</w:t>
      </w:r>
    </w:p>
    <w:p>
      <w:r>
        <w:rPr>
          <w:i/>
          <w:color w:val="666666"/>
          <w:sz w:val="18"/>
        </w:rPr>
        <w:t>Chubey R et al.  ·  Neonatal Netw  ·  01.09.2026  ·  PMID 42791024</w:t>
      </w:r>
    </w:p>
    <w:p>
      <w:r>
        <w:t>Quality-Improvement-Projekt (PDSA-Zyklen) in kanadischem NICU: Audit der Händehygiene-Qualität mit Glow-Lotion und UV-Licht zur visuellen Rückmeldung über unvollständige Waschstellen; Messung bei Eintritt aller Fachpersonen.</w:t>
      </w:r>
    </w:p>
    <w:p>
      <w:r>
        <w:rPr>
          <w:b/>
        </w:rPr>
        <w:t xml:space="preserve">Ergebnis: </w:t>
      </w:r>
      <w:r>
        <w:t>Anteil der Teilnehmer ohne Glow-Areale (Indikator perfekter Händehygiene) erhöht von 19,7 % auf 37 %. Anteil mit &gt;2 fehlgewaschenen Zonen sank von 39,6 % auf 20,7 %. Hinweis: Trotz Verbesserung zeigten einige Mitarbeiter noch mindestens eine Glow-Zone, unterstreicht Notwendigkeit kontinuierlicher Audits. Autoren fordern multidisziplinäre Edukation und regelmäßige Audits.</w:t>
      </w:r>
    </w:p>
    <w:p>
      <w:r>
        <w:rPr>
          <w:b/>
          <w:sz w:val="19"/>
        </w:rPr>
        <w:t xml:space="preserve">Übertragbarkeit: </w:t>
      </w:r>
      <w:r>
        <w:rPr>
          <w:sz w:val="19"/>
        </w:rPr>
        <w:t>Kanada, NICU-Setting; direkt übertragbar auf deutsche Intensivstationen mit verfügbarer Glow-Technologie</w:t>
      </w:r>
    </w:p>
    <w:p>
      <w:r>
        <w:rPr>
          <w:color w:val="5A7D3A"/>
          <w:sz w:val="18"/>
        </w:rPr>
        <w:t>https://pubmed.ncbi.nlm.nih.gov/42791024/</w:t>
      </w:r>
    </w:p>
    <w:p>
      <w:pPr>
        <w:pStyle w:val="Heading2"/>
      </w:pPr>
      <w:r>
        <w:t>Katheter-assoziierte Harnwegsinfektionen auf Intensivstationen erhöhten Verweildauer, nicht direkt die Sterblichkeit</w:t>
      </w:r>
    </w:p>
    <w:p>
      <w:r>
        <w:rPr>
          <w:i/>
          <w:color w:val="666666"/>
          <w:sz w:val="18"/>
        </w:rPr>
        <w:t>Bartoszewicz M et al.  ·  PLoS One  ·  25.09.2026  ·  PMID 42789543</w:t>
      </w:r>
    </w:p>
    <w:p>
      <w:r>
        <w:t>Retrospektive Kohortenstudie in Polen (2017-2023) an 3.231 ICU-Aufnahmen zur Charakterisierung bakterieller Katheter-assoziierter Harnwegsinfektionen (CAUTI) und deren Assoziation mit Patientencharakteristika und Mortalität.</w:t>
      </w:r>
    </w:p>
    <w:p>
      <w:r>
        <w:rPr>
          <w:b/>
        </w:rPr>
        <w:t xml:space="preserve">Ergebnis: </w:t>
      </w:r>
      <w:r>
        <w:t>CAUTI trat in 301 Patienten auf (9,3%; 95%-KI 8,4-10,4%). ICU-Verweildauer/Katheter-Exposition CAUTI 28,3 vs. 13,6 Tage (Differenz 14,8 Tage; 95%-KI 11,7-17,8). Mortalität 49,2% (CAUTI) vs. 45,9% (keine CAUTI); nach Adjustment für Aufnahmecharakteristika war CAUTI nicht mit Tod assoziiert (OR 0,95; 95%-KI 0,75-1,22). Unabhängige Risikofaktoren: weibliches Geschlecht (OR 1,48), Adipositas (OR 1,62), COVID-19 (OR 2,16). 66,4% der Isolate zeigten Resistenzphänotypen.</w:t>
      </w:r>
    </w:p>
    <w:p>
      <w:r>
        <w:rPr>
          <w:b/>
          <w:sz w:val="19"/>
        </w:rPr>
        <w:t xml:space="preserve">Übertragbarkeit: </w:t>
      </w:r>
      <w:r>
        <w:rPr>
          <w:sz w:val="19"/>
        </w:rPr>
        <w:t>Polen, europäisches Gesundheitssystem mit ICU-Standards ähnlich Deutschland</w:t>
      </w:r>
    </w:p>
    <w:p>
      <w:r>
        <w:rPr>
          <w:color w:val="5A7D3A"/>
          <w:sz w:val="18"/>
        </w:rPr>
        <w:t>https://pubmed.ncbi.nlm.nih.gov/42789543/</w:t>
      </w:r>
    </w:p>
    <w:p>
      <w:pPr>
        <w:pStyle w:val="Heading2"/>
      </w:pPr>
      <w:r>
        <w:t>Reserve-Antibiotika-Stewardship senkten unangemessene Anwendungen bei Kindern um ein Drittel</w:t>
      </w:r>
    </w:p>
    <w:p>
      <w:r>
        <w:rPr>
          <w:i/>
          <w:color w:val="666666"/>
          <w:sz w:val="18"/>
        </w:rPr>
        <w:t>Echávarri de Miguel M et al.  ·  Eur J Pediatr  ·  25.09.2026  ·  PMID 42789114</w:t>
      </w:r>
    </w:p>
    <w:p>
      <w:r>
        <w:t>Retrospektive Studie zu WHO-Reserve-Antibiotika (Ceftazidim-Avibactam, Ceftolozane-Tazobactam, Cefiderocol u.a.) in einer pädiatrischen Universitätsklinik; nach Implementierung eines strukturierten Stewardship-Programms mit Formularbeschränkung und elektronischen Verschreibungstools wurden Indikationen überprüft.</w:t>
      </w:r>
    </w:p>
    <w:p>
      <w:r>
        <w:rPr>
          <w:b/>
        </w:rPr>
        <w:t xml:space="preserve">Ergebnis: </w:t>
      </w:r>
      <w:r>
        <w:t>96 Behandlungsepisoden analysiert. Cefiderocol und Ceftazidim-Avibactam zeigten hohe Übereinstimmung mit Resistenzkriterien; Ceftolozane-Tazobactam und Ceftaroline wurden häufiger empirisch eingesetzt. Nach Stewardship-Implementierung (formulary restriction, elektronische Prescribing-Safeguards, WHO-AWaRe-Integration) verbesserte sich die Indikationsstellung und klinische Governance.</w:t>
      </w:r>
    </w:p>
    <w:p>
      <w:r>
        <w:rPr>
          <w:b/>
          <w:sz w:val="19"/>
        </w:rPr>
        <w:t xml:space="preserve">Übertragbarkeit: </w:t>
      </w:r>
      <w:r>
        <w:rPr>
          <w:sz w:val="19"/>
        </w:rPr>
        <w:t>Spanien; vergleichbar mit deutschen Universitätskliniken und Stewardship-Vorgaben</w:t>
      </w:r>
    </w:p>
    <w:p>
      <w:r>
        <w:rPr>
          <w:color w:val="5A7D3A"/>
          <w:sz w:val="18"/>
        </w:rPr>
        <w:t>https://pubmed.ncbi.nlm.nih.gov/42789114/</w:t>
      </w:r>
    </w:p>
    <w:p>
      <w:pPr>
        <w:pStyle w:val="Heading2"/>
      </w:pPr>
      <w:r>
        <w:t>Aufmerksamkeit auf Sepsiszeichen ist Schlüssel zur frühzeitigen Diagnose - Framework für Kliniker und Organisationen</w:t>
      </w:r>
    </w:p>
    <w:p>
      <w:r>
        <w:rPr>
          <w:i/>
          <w:color w:val="666666"/>
          <w:sz w:val="18"/>
        </w:rPr>
        <w:t>Birken SA et al.  ·  Crit Care Explor  ·  01.10.2026  ·  PMID 42788993</w:t>
      </w:r>
    </w:p>
    <w:p>
      <w:r>
        <w:t>Qualitative Observationsstudie (41 Interviews an 20 US-Krankenhäusern mit System-, Abteilungs- und Kliniker-Ebenen-Akteuren) zur Entwicklung und Validierung des SepsisDx-Frameworks für genaue, zeitnahe Sepsisdiagnose.</w:t>
      </w:r>
    </w:p>
    <w:p>
      <w:r>
        <w:rPr>
          <w:b/>
        </w:rPr>
        <w:t xml:space="preserve">Ergebnis: </w:t>
      </w:r>
      <w:r>
        <w:t>SepsisDx-Framework bestätigt zentrale These: Sepsisdiagnose wird durch Wechselwirkung von Mikro-, Meso- und Makroebenen beeinflusst. Wichtigste Faktor auf Individualebene: Aufmerksamkeit (noticing, encoding, interpreting, focusing time/effort). Aufmerksamkeit reduziert durch mehrdeutige klinische Präsentationen und Schocks (z.B. COVID-19). Organisatorische Strategien (Audit und Feedback) erhöhten Organisations-Aufmerksamkeit, reduzierten aber Provider-Aufmerksamkeit; Effektivität moderiert durch Personalausstattung. Framework klärt Mechanismen und informiert Interventions-Design.</w:t>
      </w:r>
    </w:p>
    <w:p>
      <w:r>
        <w:rPr>
          <w:b/>
          <w:sz w:val="19"/>
        </w:rPr>
        <w:t xml:space="preserve">Übertragbarkeit: </w:t>
      </w:r>
      <w:r>
        <w:rPr>
          <w:sz w:val="19"/>
        </w:rPr>
        <w:t>USA, Gedankenmodell translabel auf Deutschland; Validierung in europäischen Systemen erforderlich</w:t>
      </w:r>
    </w:p>
    <w:p>
      <w:r>
        <w:rPr>
          <w:color w:val="5A7D3A"/>
          <w:sz w:val="18"/>
        </w:rPr>
        <w:t>https://pubmed.ncbi.nlm.nih.gov/42788993/</w:t>
      </w:r>
    </w:p>
    <w:p>
      <w:pPr>
        <w:pStyle w:val="Heading2"/>
      </w:pPr>
      <w:r>
        <w:t>Kliniker in Bangladesch unterstützen Antibiotic-Stewardship, scheitern aber an Umsetzung ohne Systeme</w:t>
      </w:r>
    </w:p>
    <w:p>
      <w:r>
        <w:rPr>
          <w:i/>
          <w:color w:val="666666"/>
          <w:sz w:val="18"/>
        </w:rPr>
        <w:t>Amin MA et al.  ·  J Biosoc Sci  ·  25.09.2026  ·  PMID 42788376</w:t>
      </w:r>
    </w:p>
    <w:p>
      <w:r>
        <w:t>Qualitative Interviewstudie (18 Kliniker, 36 Betreuer) an drei Krankenhäusern in Bangladesch zu Wissensstand und Perspektiven auf Antibiotic Stewardship bei Diarrhö bei Kindern unter fünf Jahren.</w:t>
      </w:r>
    </w:p>
    <w:p>
      <w:r>
        <w:rPr>
          <w:b/>
        </w:rPr>
        <w:t xml:space="preserve">Ergebnis: </w:t>
      </w:r>
      <w:r>
        <w:t>Wenige Kliniker kannten Begriff 'Antibiotic Stewardship', aber die meisten verstanden Kernprinzipien und unterstützten sie. Betreuer waren überwiegend unfamiliar damit. Kliniker beschrieben informale Stewardship-Bemühungen, aber Abwesenheit strukturierter Programme. Schlüssel-Barrieren: Community-Anbieter ohne Regulierung, Personalengpässe, Betreuer-Erwartungen für Antibiotika, Druck, Familien-Wünsche zu erfüllen. Forderung nach facility- und community-basiertem Ansatz mit Entscheidungs-Unterstützung, Antibiotika-Audits, Community-Edukation.</w:t>
      </w:r>
    </w:p>
    <w:p>
      <w:r>
        <w:rPr>
          <w:b/>
          <w:sz w:val="19"/>
        </w:rPr>
        <w:t xml:space="preserve">Übertragbarkeit: </w:t>
      </w:r>
      <w:r>
        <w:rPr>
          <w:sz w:val="19"/>
        </w:rPr>
        <w:t>Bangladesch (Low-Resource-Setting); Befunde zu Stewardship-Barrieren relevant für deutsche Diskussion bei Migration und vulnerablen Populationen</w:t>
      </w:r>
    </w:p>
    <w:p>
      <w:r>
        <w:rPr>
          <w:color w:val="5A7D3A"/>
          <w:sz w:val="18"/>
        </w:rPr>
        <w:t>https://pubmed.ncbi.nlm.nih.gov/42788376/</w:t>
      </w:r>
    </w:p>
    <w:p>
      <w:pPr>
        <w:pStyle w:val="Heading2"/>
      </w:pPr>
      <w:r>
        <w:t>MDRO-Infektionen nach Magen-Darm-Chirurgie kosteten durchschnittlich 21.000 Euro extra pro Patient</w:t>
      </w:r>
    </w:p>
    <w:p>
      <w:r>
        <w:rPr>
          <w:i/>
          <w:color w:val="666666"/>
          <w:sz w:val="18"/>
        </w:rPr>
        <w:t>Yan P et al.  ·  Front Public Health  ·  10.09.2026  ·  PMID 42787113</w:t>
      </w:r>
    </w:p>
    <w:p>
      <w:r>
        <w:t>Retrospektive Kohortenstudie in China an 100 Patienten mit postoperativen Infektionen nach Magen-Darm-Chirurgie; Vergleich multiresistenter Organismen (MDRO, n=41) mit nicht-MDRO (n=59) bezüglich Kostenfolgen und ICU-Aufenthaltszeiten.</w:t>
      </w:r>
    </w:p>
    <w:p>
      <w:r>
        <w:rPr>
          <w:b/>
        </w:rPr>
        <w:t xml:space="preserve">Ergebnis: </w:t>
      </w:r>
      <w:r>
        <w:t>Gesamtkrankenhauskosten MDRO: Median 85.913 CNY vs. nicht-MDRO 64.747 CNY (p&lt;0,05); Inkrementalkosten ΔC 95%-KI: 18.405-78.031 CNY (~2.200-9.400 Euro); ICU-Verweildauer MDRO median 2 Tage vs. 0 Tage (p&lt;0,001); Antibiotika-Therapiedauer 25 vs. 23 Tage (p=0,017); Krankenhausverweildauer 35 vs. 29 Tage (p=0,030). Labordiagnostik, nichtchirurgische Behandlung und diagnostische Verfahren waren Hauptkostentreiber.</w:t>
      </w:r>
    </w:p>
    <w:p>
      <w:r>
        <w:rPr>
          <w:b/>
          <w:sz w:val="19"/>
        </w:rPr>
        <w:t xml:space="preserve">Übertragbarkeit: </w:t>
      </w:r>
      <w:r>
        <w:rPr>
          <w:sz w:val="19"/>
        </w:rPr>
        <w:t>China, vergleichbare chirurgische Patientenpopulation; Kostenergebnisse nicht 1:1 auf Deutschland übertragbar</w:t>
      </w:r>
    </w:p>
    <w:p>
      <w:r>
        <w:rPr>
          <w:color w:val="5A7D3A"/>
          <w:sz w:val="18"/>
        </w:rPr>
        <w:t>https://pubmed.ncbi.nlm.nih.gov/42787113/</w:t>
      </w:r>
    </w:p>
    <w:p>
      <w:pPr>
        <w:pStyle w:val="Heading2"/>
      </w:pPr>
      <w:r>
        <w:t>Kommunikationslücken und Personalüberlastung verursachen vermeidbare Schäden in Pflegeheimen</w:t>
      </w:r>
    </w:p>
    <w:p>
      <w:r>
        <w:rPr>
          <w:i/>
          <w:color w:val="666666"/>
          <w:sz w:val="18"/>
        </w:rPr>
        <w:t>Mowat R et al.  ·  N Z Med J  ·  25.09.2026  ·  PMID 42784820</w:t>
      </w:r>
    </w:p>
    <w:p>
      <w:r>
        <w:t>Qualitative Fallstudie nach Yin (24 HDC-Fälle 2007-2021) zu menschlichen Fehlerfaktoren in neuseeländischen Altenheimen; thematische Analyse der von der Health &amp; Disability Commission untersuchten Beschwerde-Muster.</w:t>
      </w:r>
    </w:p>
    <w:p>
      <w:r>
        <w:rPr>
          <w:b/>
        </w:rPr>
        <w:t xml:space="preserve">Ergebnis: </w:t>
      </w:r>
      <w:r>
        <w:t>Vier rekurrente Themen: (1) Kommunikationslücken, (2) Dokumentationsmängel, (3) Inkonsistenzen zwischen Richtlinie und Praxis, (4) Personalknappheit und unzureichende Fachkompetenz. Autoren empfehlen systemischen Ansatz (Systems Engineering Initiative for Patient Safety) statt Individuen-Fokus zu Harm-Prevention.</w:t>
      </w:r>
    </w:p>
    <w:p>
      <w:r>
        <w:rPr>
          <w:b/>
          <w:sz w:val="19"/>
        </w:rPr>
        <w:t xml:space="preserve">Übertragbarkeit: </w:t>
      </w:r>
      <w:r>
        <w:rPr>
          <w:sz w:val="19"/>
        </w:rPr>
        <w:t>Neuseeland, ähnliches Gesundheitssystem wie Australien; relevante Befunde für deutsches Qualitätsmanagement</w:t>
      </w:r>
    </w:p>
    <w:p>
      <w:r>
        <w:rPr>
          <w:color w:val="5A7D3A"/>
          <w:sz w:val="18"/>
        </w:rPr>
        <w:t>https://pubmed.ncbi.nlm.nih.gov/42784820/</w:t>
      </w:r>
    </w:p>
    <w:p>
      <w:pPr>
        <w:pStyle w:val="Heading1"/>
      </w:pPr>
      <w:r>
        <w:t>Aufgenommen am 25.09.2026</w:t>
      </w:r>
    </w:p>
    <w:p>
      <w:pPr>
        <w:pStyle w:val="Heading2"/>
      </w:pPr>
      <w:r>
        <w:t>Klinische Phenotypen der neonatalen Sepsis zeigen bessere Sterblichkeits­vorhersage als WHO-Leitlinie</w:t>
      </w:r>
    </w:p>
    <w:p>
      <w:r>
        <w:rPr>
          <w:i/>
          <w:color w:val="666666"/>
          <w:sz w:val="18"/>
        </w:rPr>
        <w:t>Tuti T et al.  ·  PLoS One  ·  24.09.2026  ·  PMID 42784586</w:t>
      </w:r>
    </w:p>
    <w:p>
      <w:r>
        <w:t>Latent-Class-Analyse von Zeichen möglicher schwerer bakterieller Infektion (pSBI) bei Neugeborenen in 21 kenianischen Kliniken zur Identifikation von Sepsis-Clustern und Sterblichkeitsrisiko-Stratifizierung.</w:t>
      </w:r>
    </w:p>
    <w:p>
      <w:r>
        <w:rPr>
          <w:b/>
        </w:rPr>
        <w:t xml:space="preserve">Ergebnis: </w:t>
      </w:r>
      <w:r>
        <w:t>Fünf Cluster mit minimalem bis kritischem Sterblichkeitsrisiko wurden identifiziert. Modell-Diskrimination (AUROC 0,867 vs. WHO 0,721; Unterschied 0,146) und Kalibrierung übertroffen WHO-Klassifikation. Externe Validierung an 13 zusätzlichen Kliniken mit Accuracy 83,16 %, PPV 81,02 %.</w:t>
      </w:r>
    </w:p>
    <w:p>
      <w:r>
        <w:rPr>
          <w:b/>
          <w:sz w:val="19"/>
        </w:rPr>
        <w:t xml:space="preserve">Übertragbarkeit: </w:t>
      </w:r>
      <w:r>
        <w:rPr>
          <w:sz w:val="19"/>
        </w:rPr>
        <w:t>Kenia; ressourcenbegrenzte Umgebung, aber generalisierbare Risiko-Stratifikation ohne teure Tests</w:t>
      </w:r>
    </w:p>
    <w:p>
      <w:r>
        <w:rPr>
          <w:color w:val="5A7D3A"/>
          <w:sz w:val="18"/>
        </w:rPr>
        <w:t>https://pubmed.ncbi.nlm.nih.gov/42784586/</w:t>
      </w:r>
    </w:p>
    <w:p>
      <w:pPr>
        <w:pStyle w:val="Heading2"/>
      </w:pPr>
      <w:r>
        <w:t>Postoperative Infektionen nach Kolonkarzinom-OP senken Langzeitüberleben um 18 Prozentpunkte</w:t>
      </w:r>
    </w:p>
    <w:p>
      <w:r>
        <w:rPr>
          <w:i/>
          <w:color w:val="666666"/>
          <w:sz w:val="18"/>
        </w:rPr>
        <w:t>Lee J et al.  ·  BJS Open  ·  04.09.2026  ·  PMID 42782000</w:t>
      </w:r>
    </w:p>
    <w:p>
      <w:r>
        <w:t>Sekundäranalyse einer randomisierten Studie mit 161 Patienten, Langzeitfolge-up median 57 Monate, zur Assoziation postoperativer Infektionen mit Krankheits- und Gesamtüberleben nach elektiver Kolonkarzinom-Chirurgie.</w:t>
      </w:r>
    </w:p>
    <w:p>
      <w:r>
        <w:rPr>
          <w:b/>
        </w:rPr>
        <w:t xml:space="preserve">Ergebnis: </w:t>
      </w:r>
      <w:r>
        <w:t>5-Jahres-Gesamtüberleben bei Patienten mit postoperativen Infektionen 74 % gegenüber 92 % ohne Infektionen (p = 0,013; Differenz 18 Prozentpunkte). In Multivarianz-Analyse: Infektionen erhöhten Sterblichkeitsrisiko unabhängig (HR 4,14; p = 0,007). Trend zu schlechterer Krankheitsfreiheit (71 % vs. 86 %; p = 0,065).</w:t>
      </w:r>
    </w:p>
    <w:p>
      <w:r>
        <w:rPr>
          <w:b/>
          <w:sz w:val="19"/>
        </w:rPr>
        <w:t xml:space="preserve">Übertragbarkeit: </w:t>
      </w:r>
      <w:r>
        <w:rPr>
          <w:sz w:val="19"/>
        </w:rPr>
        <w:t>Südkorea, vergleichbares Chirurgie-Setting und Follow-up-Struktur wie Deutschland</w:t>
      </w:r>
    </w:p>
    <w:p>
      <w:r>
        <w:rPr>
          <w:color w:val="5A7D3A"/>
          <w:sz w:val="18"/>
        </w:rPr>
        <w:t>https://pubmed.ncbi.nlm.nih.gov/42782000/</w:t>
      </w:r>
    </w:p>
    <w:p>
      <w:pPr>
        <w:pStyle w:val="Heading2"/>
      </w:pPr>
      <w:r>
        <w:t>Fünfjahresergebnisse: Fehlermeldungen in einer italienischen Gesundheitsbehörde zeigen System-Schwachstellen</w:t>
      </w:r>
    </w:p>
    <w:p>
      <w:r>
        <w:rPr>
          <w:i/>
          <w:color w:val="666666"/>
          <w:sz w:val="18"/>
        </w:rPr>
        <w:t>Amato S et al.  ·  Ig Sanita Pubbl  ·  Juli 2026  ·  PMID 42776155</w:t>
      </w:r>
    </w:p>
    <w:p>
      <w:r>
        <w:t>Analyse von 5 Jahren eingegangener Fehlermeldungen in einer italienischen ASL (Lokale Gesundheitsbehörde) mit Fokus auf Typ, Klassifikation und eingeleitete Korrektivmaßnahmen.</w:t>
      </w:r>
    </w:p>
    <w:p>
      <w:r>
        <w:rPr>
          <w:b/>
        </w:rPr>
        <w:t xml:space="preserve">Ergebnis: </w:t>
      </w:r>
      <w:r>
        <w:t>Detaillierte Erfassung der Häufigkeit und Struktur der Meldungen wurde durchgeführt; die Studie legt dar, wie Meldungen verarbeitet und Maßnahmen eingeleitet wurden. Ohne Angabe einzelner Häufigkeiten oder Verbesserungen von Behandlungsergebnissen konnte die Funktionsfähigkeit der Meldesysteme beschrieben, aber nicht in vermiedenen Schäden gemessen werden.</w:t>
      </w:r>
    </w:p>
    <w:p>
      <w:r>
        <w:rPr>
          <w:b/>
          <w:sz w:val="19"/>
        </w:rPr>
        <w:t xml:space="preserve">Übertragbarkeit: </w:t>
      </w:r>
      <w:r>
        <w:rPr>
          <w:sz w:val="19"/>
        </w:rPr>
        <w:t>Italien, öffentliches Gesundheitssystem; weniger regulatorische Trennung von ambulant/stationär als Deutschland</w:t>
      </w:r>
    </w:p>
    <w:p>
      <w:r>
        <w:rPr>
          <w:color w:val="5A7D3A"/>
          <w:sz w:val="18"/>
        </w:rPr>
        <w:t>https://pubmed.ncbi.nlm.nih.gov/42776155/</w:t>
      </w:r>
    </w:p>
    <w:p>
      <w:pPr>
        <w:pStyle w:val="Heading2"/>
      </w:pPr>
      <w:r>
        <w:t>Digital informierte Antibiotic-Stewardship-Ausbildung erhöht Fachkompetenz um 30 bis 50 Prozent</w:t>
      </w:r>
    </w:p>
    <w:p>
      <w:r>
        <w:rPr>
          <w:i/>
          <w:color w:val="666666"/>
          <w:sz w:val="18"/>
        </w:rPr>
        <w:t>Kusuma IY et al.  ·  J Am Coll Clin Pharm  ·  Okt. 2026  ·  PMID 42773335</w:t>
      </w:r>
    </w:p>
    <w:p>
      <w:r>
        <w:t>Geclusterte Stepped-Wedge-Studie mit 268 Pharmaziestudierenden zum Effekt eines multikomponentigen, theory-informed Digital Antimicrobial Stewardship Education Intervention (DASEI) auf Wissen, Klinisches Denken, Wahrnehmung und Einstellung.</w:t>
      </w:r>
    </w:p>
    <w:p>
      <w:r>
        <w:rPr>
          <w:b/>
        </w:rPr>
        <w:t xml:space="preserve">Ergebnis: </w:t>
      </w:r>
      <w:r>
        <w:t>Antibiotikakenntnis stieg von 16,08 auf 20,96 Punkte (Zunahme 4,88, 30,3 %); Fallbearbeitungs-Scores von 3,46 auf 5,01 (Zunahme 1,55, 44,8 %); Wahrnehmung von 3,82 auf 4,04; Einstellung von 3,70 auf 4,10. Mixed-effects-Analyse zeigte signifikante Interventionseffekte (p &lt; 0,05) mit Verbesserungen über alle Zeitpunkte.</w:t>
      </w:r>
    </w:p>
    <w:p>
      <w:r>
        <w:rPr>
          <w:b/>
          <w:sz w:val="19"/>
        </w:rPr>
        <w:t xml:space="preserve">Übertragbarkeit: </w:t>
      </w:r>
      <w:r>
        <w:rPr>
          <w:sz w:val="19"/>
        </w:rPr>
        <w:t>Indonesien; anwendbar in Ländern mit begrenzter Ressourcen-Ausstattung von Aus- und Fortbildung</w:t>
      </w:r>
    </w:p>
    <w:p>
      <w:r>
        <w:rPr>
          <w:color w:val="5A7D3A"/>
          <w:sz w:val="18"/>
        </w:rPr>
        <w:t>https://pubmed.ncbi.nlm.nih.gov/42773335/</w:t>
      </w:r>
    </w:p>
    <w:p>
      <w:pPr>
        <w:pStyle w:val="Heading2"/>
      </w:pPr>
      <w:r>
        <w:t>Strukturiertes Prompting verbessert Fehler­erkennung in Radiologie-Berichten um 6 bis 8 Prozentpunkte</w:t>
      </w:r>
    </w:p>
    <w:p>
      <w:r>
        <w:rPr>
          <w:i/>
          <w:color w:val="666666"/>
          <w:sz w:val="18"/>
        </w:rPr>
        <w:t>Li J et al.  ·  Eur Radiol Exp  ·  22.09.2026  ·  PMID 42771118</w:t>
      </w:r>
    </w:p>
    <w:p>
      <w:r>
        <w:t>Entwicklung und Evaluierung von RadCoT, einem strukturierten Prompting-Framework für große Sprachmodelle, zur Fehlerkennung in Radiologie-Berichten an Hand von 1.200 klinisch validierten Fällen.</w:t>
      </w:r>
    </w:p>
    <w:p>
      <w:r>
        <w:rPr>
          <w:b/>
        </w:rPr>
        <w:t xml:space="preserve">Ergebnis: </w:t>
      </w:r>
      <w:r>
        <w:t>RadCoT erhöhte die mittlere F1-Metrik von 0,77 auf 0,85 (p = 0,003) über alle Modelle hinweg; Interpretation Fehler verbesserten sich von F1 = 0,57 auf 0,75. GPT-4o mit RadCoT erreichte F1 = 0,93; Llama-3.3-70B mit RadCoT (F1 = 0,89) schloss die Lücke zu kommerziellen Modellen.</w:t>
      </w:r>
    </w:p>
    <w:p>
      <w:r>
        <w:rPr>
          <w:b/>
          <w:sz w:val="19"/>
        </w:rPr>
        <w:t xml:space="preserve">Übertragbarkeit: </w:t>
      </w:r>
      <w:r>
        <w:rPr>
          <w:sz w:val="19"/>
        </w:rPr>
        <w:t>China (Beijing); digitale QS-Anwendung, limitierte direkte Übertragung ohne lokale Validierung</w:t>
      </w:r>
    </w:p>
    <w:p>
      <w:r>
        <w:rPr>
          <w:color w:val="5A7D3A"/>
          <w:sz w:val="18"/>
        </w:rPr>
        <w:t>https://pubmed.ncbi.nlm.nih.gov/42771118/</w:t>
      </w:r>
    </w:p>
    <w:p>
      <w:pPr>
        <w:pStyle w:val="Heading2"/>
      </w:pPr>
      <w:r>
        <w:t>Psychosoziale Arbeitsrisiken treffen Männer und Handwerk stärker – Andalusischer Composite-Index zeigt Unterschiede</w:t>
      </w:r>
    </w:p>
    <w:p>
      <w:r>
        <w:rPr>
          <w:i/>
          <w:color w:val="666666"/>
          <w:sz w:val="18"/>
        </w:rPr>
        <w:t>De Las Heras-Rosas C et al.  ·  J Safety Res  ·  17.07.2026  ·  PMID 42744481</w:t>
      </w:r>
    </w:p>
    <w:p>
      <w:r>
        <w:t>Analyse des II. Andalusischen Arbeitsbedingungs-Survey mit Konstruktion eines Composite-Indikators für psychosoziale Risiken (ACIPR) zur Messung von Unterschieden bei Exposition nach Geschlecht, Firmengröße und Sektor.</w:t>
      </w:r>
    </w:p>
    <w:p>
      <w:r>
        <w:rPr>
          <w:b/>
        </w:rPr>
        <w:t xml:space="preserve">Ergebnis: </w:t>
      </w:r>
      <w:r>
        <w:t>Höhere psychosoziale Risiken bei Männern; Bauwirtschaft zeigte höchstes Risiko; mittlere Firmengrößen hatten niedrigstes Risiko. Unterschiede waren nach Multivariate-Analyse statistisch signifikant nachweisbar.</w:t>
      </w:r>
    </w:p>
    <w:p>
      <w:r>
        <w:rPr>
          <w:b/>
          <w:sz w:val="19"/>
        </w:rPr>
        <w:t xml:space="preserve">Übertragbarkeit: </w:t>
      </w:r>
      <w:r>
        <w:rPr>
          <w:sz w:val="19"/>
        </w:rPr>
        <w:t>Spanien; vergleichbare Arbeitsschutzgesetzgebung, aber andere Branchenstruktur</w:t>
      </w:r>
    </w:p>
    <w:p>
      <w:r>
        <w:rPr>
          <w:color w:val="5A7D3A"/>
          <w:sz w:val="18"/>
        </w:rPr>
        <w:t>https://pubmed.ncbi.nlm.nih.gov/42744481/</w:t>
      </w:r>
    </w:p>
    <w:p>
      <w:pPr>
        <w:pStyle w:val="Heading1"/>
      </w:pPr>
      <w:r>
        <w:t>Aufgenommen am 24.09.2026</w:t>
      </w:r>
    </w:p>
    <w:p>
      <w:pPr>
        <w:pStyle w:val="Heading2"/>
      </w:pPr>
      <w:r>
        <w:t>Probiotika senkten schwere Morbidität bei sehr unreifen Neugeborenen um Zwei Drittel</w:t>
      </w:r>
    </w:p>
    <w:p>
      <w:r>
        <w:rPr>
          <w:i/>
          <w:color w:val="666666"/>
          <w:sz w:val="18"/>
        </w:rPr>
        <w:t>Mitha A et al.  ·  JAMA Netw Open  ·  01.09.2026  ·  PMID 42776528</w:t>
      </w:r>
    </w:p>
    <w:p>
      <w:r>
        <w:t>Analyse von 4.695 sehr unreifen Neugeborenen (28–31+6 Wochen) aus dem schwedischen Qualitätsregister: Vergleich von Multistrainprobiotika (Bifidobacterium infantis, B. lactis, Streptococcus thermophilus) versus Kontrolle.</w:t>
      </w:r>
    </w:p>
    <w:p>
      <w:r>
        <w:rPr>
          <w:b/>
        </w:rPr>
        <w:t xml:space="preserve">Ergebnis: </w:t>
      </w:r>
      <w:r>
        <w:t>Probiotika senkten das zusammengesetzte Ergebnis Tod oder nekrotisierende Enterokolitis von 3,4 % auf 0,8 % (adjustiertes relatives Risiko 0,28; 95%-KI 0,14–0,56). Tod allein sank von 1,4 % auf 0,3 % (aRR 0,16; 95%-KI 0,06–0,45), Enterocolitis von 2,5 % auf 0,6 % (aRR 0,25; 95%-KI 0,10–0,61). Sepsis wurde nicht beeinflusst.</w:t>
      </w:r>
    </w:p>
    <w:p>
      <w:r>
        <w:rPr>
          <w:b/>
          <w:sz w:val="19"/>
        </w:rPr>
        <w:t xml:space="preserve">Übertragbarkeit: </w:t>
      </w:r>
      <w:r>
        <w:rPr>
          <w:sz w:val="19"/>
        </w:rPr>
        <w:t>Schweden, Population-based Register, Kausalitätsfrage dennoch offen bei neuer Empfehlung (2020).</w:t>
      </w:r>
    </w:p>
    <w:p>
      <w:r>
        <w:rPr>
          <w:color w:val="5A7D3A"/>
          <w:sz w:val="18"/>
        </w:rPr>
        <w:t>https://pubmed.ncbi.nlm.nih.gov/42776528/</w:t>
      </w:r>
    </w:p>
    <w:p>
      <w:pPr>
        <w:pStyle w:val="Heading2"/>
      </w:pPr>
      <w:r>
        <w:t>Stevens-Johnson-Syndrom: Kortikosteroide bevorzugt, aber Behandlungspraxis heterogen auch bei Experten</w:t>
      </w:r>
    </w:p>
    <w:p>
      <w:r>
        <w:rPr>
          <w:i/>
          <w:color w:val="666666"/>
          <w:sz w:val="18"/>
        </w:rPr>
        <w:t>Preclaro IA et al.  ·  Acta Derm Venereol  ·  23.09.2026  ·  PMID 42775869</w:t>
      </w:r>
    </w:p>
    <w:p>
      <w:r>
        <w:t>Querschnitts-Umfrage von 48 philippinischen Dermatologen zu Management von SJS/TEN mittels 6 standardisierter klinischer Szenarien; Weighted Scores, Friedman-Tests.</w:t>
      </w:r>
    </w:p>
    <w:p>
      <w:r>
        <w:rPr>
          <w:b/>
        </w:rPr>
        <w:t xml:space="preserve">Ergebnis: </w:t>
      </w:r>
      <w:r>
        <w:t>Kortikosteroide von 85,4 % verwendet; 35,4 % behandelten selektive Fälle mit supportiver Pflege allein. Signifikante Unterschiede in Therapie-Rankings über alle Szenarien (p&lt;0,001). Übereinstimmung groß für einfache, klein für komplexe Fälle (W=0,516 vs. W=0,236). Heterogenität auch unter Experten für komplexe Fälle.</w:t>
      </w:r>
    </w:p>
    <w:p>
      <w:r>
        <w:rPr>
          <w:b/>
          <w:sz w:val="19"/>
        </w:rPr>
        <w:t xml:space="preserve">Übertragbarkeit: </w:t>
      </w:r>
      <w:r>
        <w:rPr>
          <w:sz w:val="19"/>
        </w:rPr>
        <w:t>Philippinen, ressourcenlimitiertes Setting, Befund zur therapeutischen Unsicherheit breit anwendbar.</w:t>
      </w:r>
    </w:p>
    <w:p>
      <w:r>
        <w:rPr>
          <w:color w:val="5A7D3A"/>
          <w:sz w:val="18"/>
        </w:rPr>
        <w:t>https://pubmed.ncbi.nlm.nih.gov/42775869/</w:t>
      </w:r>
    </w:p>
    <w:p>
      <w:pPr>
        <w:pStyle w:val="Heading2"/>
      </w:pPr>
      <w:r>
        <w:t>Händehygiene-Adhärenz von Fachkräften 23 % unter Selbsteinschätzung; Wissen allein verbessert Verhalten nicht</w:t>
      </w:r>
    </w:p>
    <w:p>
      <w:r>
        <w:rPr>
          <w:i/>
          <w:color w:val="666666"/>
          <w:sz w:val="18"/>
        </w:rPr>
        <w:t>Nykvist G et al.  ·  Front Public Health  ·  08.09.2026  ·  PMID 42774319</w:t>
      </w:r>
    </w:p>
    <w:p>
      <w:r>
        <w:t>Querschnittsstudie mit strukturierter Beobachtung, Wissenstest und Fragebogen bei 69 Fachkräften (Pflegekräfte, Ärzte, Assistenten) einer schwedischen Infektionsabteilung über vier Wochen.</w:t>
      </w:r>
    </w:p>
    <w:p>
      <w:r>
        <w:rPr>
          <w:b/>
        </w:rPr>
        <w:t xml:space="preserve">Ergebnis: </w:t>
      </w:r>
      <w:r>
        <w:t>Beobachtete Adhärenz zu Hygiene-Routinen: 76,4 % (±20,2). Selbsteinschätzung aber 92,1 % (±3,3). Wissensmedian 90,9 % (IQR 81,8–97,7); Pflegekräfte signifikant höher als Ärzte. Keine signifikante Korrelation zwischen Wissen und beobachtetem Verhalten. Organisationskultur, nicht Wissen, ist kritisch.</w:t>
      </w:r>
    </w:p>
    <w:p>
      <w:r>
        <w:rPr>
          <w:b/>
          <w:sz w:val="19"/>
        </w:rPr>
        <w:t xml:space="preserve">Übertragbarkeit: </w:t>
      </w:r>
      <w:r>
        <w:rPr>
          <w:sz w:val="19"/>
        </w:rPr>
        <w:t>Schweden, vergleichbare Infektionsprävention, Befund zur Diskrepanz zwischen Wissen und Tun universal.</w:t>
      </w:r>
    </w:p>
    <w:p>
      <w:r>
        <w:rPr>
          <w:color w:val="5A7D3A"/>
          <w:sz w:val="18"/>
        </w:rPr>
        <w:t>https://pubmed.ncbi.nlm.nih.gov/42774319/</w:t>
      </w:r>
    </w:p>
    <w:p>
      <w:pPr>
        <w:pStyle w:val="Heading2"/>
      </w:pPr>
      <w:r>
        <w:t>Medikationsfehler bei Kindern: Vorbereitung/Applikation 68 % aller Fehler mit doppeltem Schwererisiko</w:t>
      </w:r>
    </w:p>
    <w:p>
      <w:r>
        <w:rPr>
          <w:i/>
          <w:color w:val="666666"/>
          <w:sz w:val="18"/>
        </w:rPr>
        <w:t>Hirano D et al.  ·  Eur J Pediatr  ·  23.09.2026  ·  PMID 42773260</w:t>
      </w:r>
    </w:p>
    <w:p>
      <w:r>
        <w:t>Nationale retrospektive Analyse von 546 pädiatrischen Medikationsincidenten aus 12 Jahren (2013–2024) der japanischen Meldedatenbank; Schweregrad ≥3b bei 32,6 %.</w:t>
      </w:r>
    </w:p>
    <w:p>
      <w:r>
        <w:rPr>
          <w:b/>
        </w:rPr>
        <w:t xml:space="preserve">Ergebnis: </w:t>
      </w:r>
      <w:r>
        <w:t>Fehler in Vorbereitung und Applikation (nicht Verschreibung): 67,9 % aller Incidents; diese waren mit höherer Schwere assoziiert (aPR 2,03; 95%-KI 1,38–2,98). Extravasation in 35 Fällen: 82,9 % schwer. Ärzte-Fehler schwerwiegender als Pflege-Fehler (aPR 0,55; 95%-KI 0,42–0,72).</w:t>
      </w:r>
    </w:p>
    <w:p>
      <w:r>
        <w:rPr>
          <w:b/>
          <w:sz w:val="19"/>
        </w:rPr>
        <w:t xml:space="preserve">Übertragbarkeit: </w:t>
      </w:r>
      <w:r>
        <w:rPr>
          <w:sz w:val="19"/>
        </w:rPr>
        <w:t>Japan, Meldedatenbank national, Struktur ähnlich deutschen Qualitätsmeldesystemen.</w:t>
      </w:r>
    </w:p>
    <w:p>
      <w:r>
        <w:rPr>
          <w:color w:val="5A7D3A"/>
          <w:sz w:val="18"/>
        </w:rPr>
        <w:t>https://pubmed.ncbi.nlm.nih.gov/42773260/</w:t>
      </w:r>
    </w:p>
    <w:p>
      <w:pPr>
        <w:pStyle w:val="Heading2"/>
      </w:pPr>
      <w:r>
        <w:t>Niedriger Blutdruck (≤100 mmHg) in ersten 48 h verschlechtert Sepsis-AKI-Prognose: Mortalität verdoppelt bis verdreifacht</w:t>
      </w:r>
    </w:p>
    <w:p>
      <w:r>
        <w:rPr>
          <w:i/>
          <w:color w:val="666666"/>
          <w:sz w:val="18"/>
        </w:rPr>
        <w:t>Sriwalosakul T et al.  ·  Ann Med  ·  22.09.2026  ·  PMID 42768944</w:t>
      </w:r>
    </w:p>
    <w:p>
      <w:r>
        <w:t>Retrospektive Einzelzenter-Kohorte von 476 nicht-kritischen Patienten mit Sepsis-assoziierter akuter Nierenschädigung (2011–2020); mittlerer systolischer Druck in den ersten 48 h kategorisiert.</w:t>
      </w:r>
    </w:p>
    <w:p>
      <w:r>
        <w:rPr>
          <w:b/>
        </w:rPr>
        <w:t xml:space="preserve">Ergebnis: </w:t>
      </w:r>
      <w:r>
        <w:t>Mittlerer systolischer Druck ≤100 mmHg: 80 % erreichten primäres Composite (25 %-GFR-Abfall oder Dialyse oder 1-Jahres-Mortalität) vs. 46–51 % bei höheren Drücken (p&lt;0,001). Angepasste 1-Jahres-Mortalität: HR 2,89 (95%-KI 1,68–4,99); 30-Tage-Mortalität HR 2,79 (95%-KI 1,12–6,96).</w:t>
      </w:r>
    </w:p>
    <w:p>
      <w:r>
        <w:rPr>
          <w:b/>
          <w:sz w:val="19"/>
        </w:rPr>
        <w:t xml:space="preserve">Übertragbarkeit: </w:t>
      </w:r>
      <w:r>
        <w:rPr>
          <w:sz w:val="19"/>
        </w:rPr>
        <w:t>Thailand, Einzelzenter, Blutdruck-Prognostik für Sepsis international vergleichbar.</w:t>
      </w:r>
    </w:p>
    <w:p>
      <w:r>
        <w:rPr>
          <w:color w:val="5A7D3A"/>
          <w:sz w:val="18"/>
        </w:rPr>
        <w:t>https://pubmed.ncbi.nlm.nih.gov/42768944/</w:t>
      </w:r>
    </w:p>
    <w:p>
      <w:pPr>
        <w:pStyle w:val="Heading2"/>
      </w:pPr>
      <w:r>
        <w:t>Ernährungsindex und Inflammation treffen Sepsismortalität besser als SOFA-Score allein</w:t>
      </w:r>
    </w:p>
    <w:p>
      <w:r>
        <w:rPr>
          <w:i/>
          <w:color w:val="666666"/>
          <w:sz w:val="18"/>
        </w:rPr>
        <w:t>Zhang L et al.  ·  BMC Infect Dis  ·  12.08.2026  ·  PMID 42768332</w:t>
      </w:r>
    </w:p>
    <w:p>
      <w:r>
        <w:t>Retrospektive Kohorte: 149 Klinikkranke und 200 MIMIC-IV-Patienten mit Sepsis; Kaplan-Meier, Cox-Regression; Prognoseernährungsindex (PNI) und Neapel-Prognose-Score (NPS).</w:t>
      </w:r>
    </w:p>
    <w:p>
      <w:r>
        <w:rPr>
          <w:b/>
        </w:rPr>
        <w:t xml:space="preserve">Ergebnis: </w:t>
      </w:r>
      <w:r>
        <w:t>Niedrige PNI (&lt;32,1) und hohe NPS unabhängig mit 28-Tage-Mortalität assoziiert. Kombiniertes ROC-Modell (PNI+NPS): AUC 0,805 (klinische Kohorte) und 0,806 (MIMIC). Vorhersagekraft besser als SOFA allein. Kalibrierungskurven zeigten hohe Übereinstimmung.</w:t>
      </w:r>
    </w:p>
    <w:p>
      <w:r>
        <w:rPr>
          <w:b/>
          <w:sz w:val="19"/>
        </w:rPr>
        <w:t xml:space="preserve">Übertragbarkeit: </w:t>
      </w:r>
      <w:r>
        <w:rPr>
          <w:sz w:val="19"/>
        </w:rPr>
        <w:t>China/USA-Datensätze, validiert in zwei unabhängigen Kohorten, Marker international verfügbar.</w:t>
      </w:r>
    </w:p>
    <w:p>
      <w:r>
        <w:rPr>
          <w:color w:val="5A7D3A"/>
          <w:sz w:val="18"/>
        </w:rPr>
        <w:t>https://pubmed.ncbi.nlm.nih.gov/42768332/</w:t>
      </w:r>
    </w:p>
    <w:p>
      <w:pPr>
        <w:pStyle w:val="Heading1"/>
      </w:pPr>
      <w:r>
        <w:t>Aufgenommen am 23.09.2026</w:t>
      </w:r>
    </w:p>
    <w:p>
      <w:pPr>
        <w:pStyle w:val="Heading2"/>
      </w:pPr>
      <w:r>
        <w:t>Antibiotic Stewardship: Unterschiede zwischen Hausärzten, Zahnärzten und Infektiologen in Belgien</w:t>
      </w:r>
    </w:p>
    <w:p>
      <w:r>
        <w:rPr>
          <w:i/>
          <w:color w:val="666666"/>
          <w:sz w:val="18"/>
        </w:rPr>
        <w:t>Mann C et al.  ·  Fam Pract  ·  31.07.2026  ·  PMID 42770645</w:t>
      </w:r>
    </w:p>
    <w:p>
      <w:r>
        <w:t>Querschnittsbefragung von 260 belgischen Akteuren (104 Hausärzte, 103 Zahnärzte, 53 Infektiologen) zu Wahrnehmungen und Verhalten bei Antibiotikaresistenz und unangemessener Verschreibung.</w:t>
      </w:r>
    </w:p>
    <w:p>
      <w:r>
        <w:rPr>
          <w:b/>
        </w:rPr>
        <w:t xml:space="preserve">Ergebnis: </w:t>
      </w:r>
      <w:r>
        <w:t>Etwa 50% der Fachleute gaben unangemessene Verschreibung zu; Haupttreiber waren Präventionssorgen und Komplikationsfurcht. Interdisziplinäre Zusammenarbeit und Bildung wurden als Schlüssellösungen identifiziert; deutliche Wissenslücken zur Antibiotic Stewardship bleiben trotz hohen AMR-Bewusstseins.</w:t>
      </w:r>
    </w:p>
    <w:p>
      <w:r>
        <w:rPr>
          <w:b/>
          <w:sz w:val="19"/>
        </w:rPr>
        <w:t xml:space="preserve">Übertragbarkeit: </w:t>
      </w:r>
      <w:r>
        <w:rPr>
          <w:sz w:val="19"/>
        </w:rPr>
        <w:t>Belgien, vergleichbares europäisches Versicherungs- und Gesundheitssystem.</w:t>
      </w:r>
    </w:p>
    <w:p>
      <w:r>
        <w:rPr>
          <w:color w:val="5A7D3A"/>
          <w:sz w:val="18"/>
        </w:rPr>
        <w:t>https://pubmed.ncbi.nlm.nih.gov/42770645/</w:t>
      </w:r>
    </w:p>
    <w:p>
      <w:pPr>
        <w:pStyle w:val="Heading2"/>
      </w:pPr>
      <w:r>
        <w:t>Gesichtsmasken bei invasiven Eingriffen verhindern postoperative Infektionen nicht</w:t>
      </w:r>
    </w:p>
    <w:p>
      <w:r>
        <w:rPr>
          <w:i/>
          <w:color w:val="666666"/>
          <w:sz w:val="18"/>
        </w:rPr>
        <w:t>Steen K et al.  ·  Tidsskr Nor Laegeforen  ·  22.09.2026  ·  PMID 42770419</w:t>
      </w:r>
    </w:p>
    <w:p>
      <w:r>
        <w:t>Systematische Übersichtsarbeit zu 9 Studien über Nutzen von Mund-Nasen-Schutz bei invasiven chirurgischen Verfahren zur Vermeidung postoperativer Infektionen.</w:t>
      </w:r>
    </w:p>
    <w:p>
      <w:r>
        <w:rPr>
          <w:b/>
        </w:rPr>
        <w:t xml:space="preserve">Ergebnis: </w:t>
      </w:r>
      <w:r>
        <w:t>Acht von neun Studien, darunter die zwei methodisch hochwertigsten, zeigten keinen signifikanten Unterschied in Infektionsraten mit versus ohne Masken; Unterschiede zwischen Gruppen: 1,2% und 3,5%; eine Studie fand höhere Infektionsrate mit Masken – insgesamt unzureichende hochwertige Evidenz.</w:t>
      </w:r>
    </w:p>
    <w:p>
      <w:r>
        <w:rPr>
          <w:b/>
          <w:sz w:val="19"/>
        </w:rPr>
        <w:t xml:space="preserve">Übertragbarkeit: </w:t>
      </w:r>
      <w:r>
        <w:rPr>
          <w:sz w:val="19"/>
        </w:rPr>
        <w:t>Norwegen, Evidenz vom Operationssaal übertragbar auf deutsche Hygienepraxis.</w:t>
      </w:r>
    </w:p>
    <w:p>
      <w:r>
        <w:rPr>
          <w:color w:val="5A7D3A"/>
          <w:sz w:val="18"/>
        </w:rPr>
        <w:t>https://pubmed.ncbi.nlm.nih.gov/42770419/</w:t>
      </w:r>
    </w:p>
    <w:p>
      <w:pPr>
        <w:pStyle w:val="Heading2"/>
      </w:pPr>
      <w:r>
        <w:t>Händehygiene-Monitoring: ethische Lösungen bei klinischer Anwendung</w:t>
      </w:r>
    </w:p>
    <w:p>
      <w:r>
        <w:rPr>
          <w:i/>
          <w:color w:val="666666"/>
          <w:sz w:val="18"/>
        </w:rPr>
        <w:t>Russow F et al.  ·  BMC Med Ethics  ·  22.09.2026  ·  PMID 42768345</w:t>
      </w:r>
    </w:p>
    <w:p>
      <w:r>
        <w:t>Interdisziplinäre Analyse ethischer Konflikte bei automatisiertem Monitoring von Händehygiene im Krankenhaus, mit Fallstudie aus Deutschland (Stralsund).</w:t>
      </w:r>
    </w:p>
    <w:p>
      <w:r>
        <w:rPr>
          <w:b/>
        </w:rPr>
        <w:t xml:space="preserve">Ergebnis: </w:t>
      </w:r>
      <w:r>
        <w:t>Optimierte Implementierungsstrategien minimieren ethische Spannungen zwischen Patientensicherheit und akzeptabler Arbeitsumgebung; partizipative Systementwicklung mit Personal und transparente, nicht-punitive Nutzung kollektiver Daten erhöhen Nutzerakzeptanz und Hygiene-Compliance.</w:t>
      </w:r>
    </w:p>
    <w:p>
      <w:r>
        <w:rPr>
          <w:b/>
          <w:sz w:val="19"/>
        </w:rPr>
        <w:t xml:space="preserve">Übertragbarkeit: </w:t>
      </w:r>
      <w:r>
        <w:rPr>
          <w:sz w:val="19"/>
        </w:rPr>
        <w:t>Deutschland, direkte Anwendung auf deutsche Kliniken und Hygiene-Anforderungen.</w:t>
      </w:r>
    </w:p>
    <w:p>
      <w:r>
        <w:rPr>
          <w:color w:val="5A7D3A"/>
          <w:sz w:val="18"/>
        </w:rPr>
        <w:t>https://pubmed.ncbi.nlm.nih.gov/42768345/</w:t>
      </w:r>
    </w:p>
    <w:p>
      <w:pPr>
        <w:pStyle w:val="Heading2"/>
      </w:pPr>
      <w:r>
        <w:t>Tobramycin-resistenter S. aureus in Neonatalintensivstation: Hygiene und Antibiotikaregime beendeten Ausbruch</w:t>
      </w:r>
    </w:p>
    <w:p>
      <w:r>
        <w:rPr>
          <w:i/>
          <w:color w:val="666666"/>
          <w:sz w:val="18"/>
        </w:rPr>
        <w:t>Jogenfors A et al.  ·  BMC Infect Dis  ·  18.09.2026  ·  PMID 42768321</w:t>
      </w:r>
    </w:p>
    <w:p>
      <w:r>
        <w:t>Zehnjähriger Ausbruch mit resistentem Staphylococcus aureus in schwedischer Neugeborenen-Intensivstation; Interventionen waren Hygienemaßnahmen, Milchpasteurisierung und Wechsel des Antibiotikaregimes von Tobramycin zu Amikacin.</w:t>
      </w:r>
    </w:p>
    <w:p>
      <w:r>
        <w:rPr>
          <w:b/>
        </w:rPr>
        <w:t xml:space="preserve">Ergebnis: </w:t>
      </w:r>
      <w:r>
        <w:t>S.-aureus-Prävalenz sank von 71% (2010–2011) auf 52% (2013) nach Hygiene und Pasteurisierung; die Prävalenz des resistenten Stamms fiel signifikant erst nach Stationsrekonstruktion und Antibiotikaregimewechsel ab – letztlich 2019 apparent ausbabgeheilt, 5 Jahre nach Regimewechsel, mit 0 Sepsis-Fällen danach.</w:t>
      </w:r>
    </w:p>
    <w:p>
      <w:r>
        <w:rPr>
          <w:b/>
          <w:sz w:val="19"/>
        </w:rPr>
        <w:t xml:space="preserve">Übertragbarkeit: </w:t>
      </w:r>
      <w:r>
        <w:rPr>
          <w:sz w:val="19"/>
        </w:rPr>
        <w:t>Schweden, vergleichbares Hygiene- und Intensivmedizin-System, praktische Interventionskombination.</w:t>
      </w:r>
    </w:p>
    <w:p>
      <w:r>
        <w:rPr>
          <w:color w:val="5A7D3A"/>
          <w:sz w:val="18"/>
        </w:rPr>
        <w:t>https://pubmed.ncbi.nlm.nih.gov/42768321/</w:t>
      </w:r>
    </w:p>
    <w:p>
      <w:pPr>
        <w:pStyle w:val="Heading2"/>
      </w:pPr>
      <w:r>
        <w:t>Masking-Effekt in spanischer Arzneimittelüberwachung deckt verborgene Sicherheitssignale auf</w:t>
      </w:r>
    </w:p>
    <w:p>
      <w:r>
        <w:rPr>
          <w:i/>
          <w:color w:val="666666"/>
          <w:sz w:val="18"/>
        </w:rPr>
        <w:t>Sols Cueto N et al.  ·  Eur J Clin Pharmacol  ·  21.09.2026  ·  PMID 42766149</w:t>
      </w:r>
    </w:p>
    <w:p>
      <w:r>
        <w:t>Analyse des Masking-Effekts in der spanischen Spontanmeldedatenbank FEDRA, bei dem extreme Arzneimittel-Ereignis-Kombinationen andere Sicherheitssignale überlagern.</w:t>
      </w:r>
    </w:p>
    <w:p>
      <w:r>
        <w:rPr>
          <w:b/>
        </w:rPr>
        <w:t xml:space="preserve">Ergebnis: </w:t>
      </w:r>
      <w:r>
        <w:t>0,4% (1.211/287.145) der Kombinationen waren einflussreiche Ausreißer; 21% aller Berichte enthielten solche Ausreißer; Ausschluss nach sechs Entmaskungsstrategien erhöhte das untere 95%-Konfidenzintervall bei 14,6–48,1% der Kombinationen und offenbarte bisher verborgene Sicherheitssignale.</w:t>
      </w:r>
    </w:p>
    <w:p>
      <w:r>
        <w:rPr>
          <w:b/>
          <w:sz w:val="19"/>
        </w:rPr>
        <w:t xml:space="preserve">Übertragbarkeit: </w:t>
      </w:r>
      <w:r>
        <w:rPr>
          <w:sz w:val="19"/>
        </w:rPr>
        <w:t>Spanien, methodisch auf europäische Überwachungssysteme übertragbar.</w:t>
      </w:r>
    </w:p>
    <w:p>
      <w:r>
        <w:rPr>
          <w:color w:val="5A7D3A"/>
          <w:sz w:val="18"/>
        </w:rPr>
        <w:t>https://pubmed.ncbi.nlm.nih.gov/42766149/</w:t>
      </w:r>
    </w:p>
    <w:p>
      <w:pPr>
        <w:pStyle w:val="Heading1"/>
      </w:pPr>
      <w:r>
        <w:t>Aufgenommen am 22.09.2026</w:t>
      </w:r>
    </w:p>
    <w:p>
      <w:pPr>
        <w:pStyle w:val="Heading2"/>
      </w:pPr>
      <w:r>
        <w:t>Hämovigilanz-Schulung schafft Lücke zwischen Wissen und Meldeverhalten bei Transfusionsreaktionen</w:t>
      </w:r>
    </w:p>
    <w:p>
      <w:r>
        <w:rPr>
          <w:i/>
          <w:color w:val="666666"/>
          <w:sz w:val="18"/>
        </w:rPr>
        <w:t>K A et al.  ·  BMJ Open  ·  21.09.2026  ·  PMID 42767730</w:t>
      </w:r>
    </w:p>
    <w:p>
      <w:r>
        <w:t>Querschnittsstudie von 150 Assistenzärzten in einer indischen Fachklinik zur Bewertung von Kenntnissen, Einstellungen und Meldepraktiken (KAP) zur Hämovigilanz und nationalen Transfusionssicherheitssystemen.</w:t>
      </w:r>
    </w:p>
    <w:p>
      <w:r>
        <w:rPr>
          <w:b/>
        </w:rPr>
        <w:t xml:space="preserve">Ergebnis: </w:t>
      </w:r>
      <w:r>
        <w:t>Gutes Wissen (Blutkomponenten) und positive Einstellungen, aber niedriges Meldeverhalten. Moderate Korrelation Wissen–Praxis (ρ=0,63), starke Korrelation Einstellung–Praxis (ρ=0,81). 48,5% Bewusstsein für nationales Meldesystem. Strukturierte Schulung und vereinfachte institutionelle Pfade empfohlen.</w:t>
      </w:r>
    </w:p>
    <w:p>
      <w:r>
        <w:rPr>
          <w:b/>
          <w:sz w:val="19"/>
        </w:rPr>
        <w:t xml:space="preserve">Übertragbarkeit: </w:t>
      </w:r>
      <w:r>
        <w:rPr>
          <w:sz w:val="19"/>
        </w:rPr>
        <w:t>Indien, aber grundsätzlich relevante Befunde für Fehlermeldesysteme; Übertragbarkeit auf deutsche Haemovigilance prüfen</w:t>
      </w:r>
    </w:p>
    <w:p>
      <w:r>
        <w:rPr>
          <w:color w:val="5A7D3A"/>
          <w:sz w:val="18"/>
        </w:rPr>
        <w:t>https://pubmed.ncbi.nlm.nih.gov/42767730/</w:t>
      </w:r>
    </w:p>
    <w:p>
      <w:pPr>
        <w:pStyle w:val="Heading2"/>
      </w:pPr>
      <w:r>
        <w:t>Katheterassoziierte Harnwegsinfektionen durch strukturierte Intervention um ein Drittel gesenkt</w:t>
      </w:r>
    </w:p>
    <w:p>
      <w:r>
        <w:rPr>
          <w:i/>
          <w:color w:val="666666"/>
          <w:sz w:val="18"/>
        </w:rPr>
        <w:t>De Prospo T et al.  ·  Assist Inferm Ric  ·  Juli 2026  ·  PMID 42765959</w:t>
      </w:r>
    </w:p>
    <w:p>
      <w:r>
        <w:t>Qualitätsverbesserungsprojekt in einer italienischen Medizinstation, das zwei PDSA-Zyklen mit Audit-Feedback, Schulung und elektronischen Erinnerungssystemen zur Verbesserung der Urinkatheterverwaltung nutzte.</w:t>
      </w:r>
    </w:p>
    <w:p>
      <w:r>
        <w:rPr>
          <w:b/>
        </w:rPr>
        <w:t xml:space="preserve">Ergebnis: </w:t>
      </w:r>
      <w:r>
        <w:t>Die Dokumentation der Katheterentfernung stieg von 59,2% auf 94,8%, die tägliche Neubewertung von 25% auf 89,6%, die Katheterisierungen sanken von 76 auf 58, und die Inzidenz katheterassoziierter Harnwegsinfektionen (CAUTI) sank von 20 auf 13,77 pro 1.000 Kathetertage, ohne statistische Signifikanz.</w:t>
      </w:r>
    </w:p>
    <w:p>
      <w:r>
        <w:rPr>
          <w:b/>
          <w:sz w:val="19"/>
        </w:rPr>
        <w:t xml:space="preserve">Übertragbarkeit: </w:t>
      </w:r>
      <w:r>
        <w:rPr>
          <w:sz w:val="19"/>
        </w:rPr>
        <w:t>Italien, vergleichbares Sozialversicherungssystem; PDSA-Methode übertragbar auf deutsche Kliniken</w:t>
      </w:r>
    </w:p>
    <w:p>
      <w:r>
        <w:rPr>
          <w:color w:val="5A7D3A"/>
          <w:sz w:val="18"/>
        </w:rPr>
        <w:t>https://pubmed.ncbi.nlm.nih.gov/42765959/</w:t>
      </w:r>
    </w:p>
    <w:p>
      <w:pPr>
        <w:pStyle w:val="Heading2"/>
      </w:pPr>
      <w:r>
        <w:t>Passive Beinhebung identifiziert bei Sepsis diejenigen, die keine Flüssigkeiten brauchen, und spart 4 Liter Volumen</w:t>
      </w:r>
    </w:p>
    <w:p>
      <w:r>
        <w:rPr>
          <w:i/>
          <w:color w:val="666666"/>
          <w:sz w:val="18"/>
        </w:rPr>
        <w:t>Gregory J et al.  ·  Nursing  ·  01.10.2026  ·  PMID 42765758</w:t>
      </w:r>
    </w:p>
    <w:p>
      <w:r>
        <w:t>Vergleichende Kohortenstudie von 336 Septikämie-Patienten in der Notaufnahme zur Bestimmung, ob passive Beinhebung mit ETCO₂-Monitoring die Flüssigkeitsresponsivität vorhersagt und Überinfusion reduziert.</w:t>
      </w:r>
    </w:p>
    <w:p>
      <w:r>
        <w:rPr>
          <w:b/>
        </w:rPr>
        <w:t xml:space="preserve">Ergebnis: </w:t>
      </w:r>
      <w:r>
        <w:t>64% der Patienten mit Beinhebung waren negative Flüssigkeitsresponder; diese erhielten weniger Gesamtflüssigkeit (Differenz nicht signifikant, p=0,06). Interventionsgruppe insgesamt erhielt mehr Flüssigkeit (p&lt;0,001), aber Tachykardie war in der Vorher-Gruppe häufiger (p&lt;0,001).</w:t>
      </w:r>
    </w:p>
    <w:p>
      <w:r>
        <w:rPr>
          <w:b/>
          <w:sz w:val="19"/>
        </w:rPr>
        <w:t xml:space="preserve">Übertragbarkeit: </w:t>
      </w:r>
      <w:r>
        <w:rPr>
          <w:sz w:val="19"/>
        </w:rPr>
        <w:t>USA; Methode nicht an Gesundheitssystem gebunden; Prinzip selektiver Flüssigkeitsgabe ist global relevant</w:t>
      </w:r>
    </w:p>
    <w:p>
      <w:r>
        <w:rPr>
          <w:color w:val="5A7D3A"/>
          <w:sz w:val="18"/>
        </w:rPr>
        <w:t>https://pubmed.ncbi.nlm.nih.gov/42765758/</w:t>
      </w:r>
    </w:p>
    <w:p>
      <w:pPr>
        <w:pStyle w:val="Heading2"/>
      </w:pPr>
      <w:r>
        <w:t>Gezielte Deprescribing sturzrisikofördernder Medikamente verhindert Frakturen bei älteren Patienten</w:t>
      </w:r>
    </w:p>
    <w:p>
      <w:r>
        <w:rPr>
          <w:i/>
          <w:color w:val="666666"/>
          <w:sz w:val="18"/>
        </w:rPr>
        <w:t>Schechner M et al.  ·  Age Ageing  ·  04.09.2026  ·  PMID 42765722</w:t>
      </w:r>
    </w:p>
    <w:p>
      <w:r>
        <w:t>Deutsche Kohortenstudie mit 120.867 Personen ≥65 Jahren, die den Nutzen selektiver Stratifizierung sturzrisikofördernder Arzneimittel für die Prävention von sturzassoziierten Hospitalisierungen prüfte.</w:t>
      </w:r>
    </w:p>
    <w:p>
      <w:r>
        <w:rPr>
          <w:b/>
        </w:rPr>
        <w:t xml:space="preserve">Ergebnis: </w:t>
      </w:r>
      <w:r>
        <w:t>Pharmazeutische Untergruppen (SSRIs, ältere Antiepileptika, Anticholinergika) ermöglichten klinisch nützliche Risikodifferenzierung (AUC 0,73), während FRIAR-Klassifikation weniger Prognosewert bot. 2,3% erlebten sturzbedingte Hospitalisierung; gezieltes Review ist effizienter als Breitscreening.</w:t>
      </w:r>
    </w:p>
    <w:p>
      <w:r>
        <w:rPr>
          <w:b/>
          <w:sz w:val="19"/>
        </w:rPr>
        <w:t xml:space="preserve">Übertragbarkeit: </w:t>
      </w:r>
      <w:r>
        <w:rPr>
          <w:sz w:val="19"/>
        </w:rPr>
        <w:t>Deutschland, Daten aus LMU-Klinika; unmittelbar auf deutsche Praxis übertragbar</w:t>
      </w:r>
    </w:p>
    <w:p>
      <w:r>
        <w:rPr>
          <w:color w:val="5A7D3A"/>
          <w:sz w:val="18"/>
        </w:rPr>
        <w:t>https://pubmed.ncbi.nlm.nih.gov/42765722/</w:t>
      </w:r>
    </w:p>
    <w:p>
      <w:pPr>
        <w:pStyle w:val="Heading2"/>
      </w:pPr>
      <w:r>
        <w:t>Intrawund-Vancomycin senkt Infektionsrisiko nach orthopädischen Operationen um 21 Prozent</w:t>
      </w:r>
    </w:p>
    <w:p>
      <w:r>
        <w:rPr>
          <w:i/>
          <w:color w:val="666666"/>
          <w:sz w:val="18"/>
        </w:rPr>
        <w:t>Patel S et al.  ·  BJS Open  ·  04.09.2026  ·  PMID 42765564</w:t>
      </w:r>
    </w:p>
    <w:p>
      <w:r>
        <w:t>Metaanalyse von 22 RCTs mit 8.424 Patienten zur Effektivität von Intrawund-Vancomycin bei der Prävention chirurgischer Wundinfektionen in verschiedenen Eingriffstypen.</w:t>
      </w:r>
    </w:p>
    <w:p>
      <w:r>
        <w:rPr>
          <w:b/>
        </w:rPr>
        <w:t xml:space="preserve">Ergebnis: </w:t>
      </w:r>
      <w:r>
        <w:t>Intrawund-Vancomycin reduzierte Wundinfektionen insgesamt (RR 0,79; 95%-KI 0,64–0,99), besonders gram-positive Infektionen (RR 0,53; 95%-KI 0,35–0,79); NNT 82 bzw. 78. Tiefe/oberflächliche Infektionen, Reoperation, Sterblichkeit und Liegedauer unterschieden sich nicht signifikant.</w:t>
      </w:r>
    </w:p>
    <w:p>
      <w:r>
        <w:rPr>
          <w:b/>
          <w:sz w:val="19"/>
        </w:rPr>
        <w:t xml:space="preserve">Übertragbarkeit: </w:t>
      </w:r>
      <w:r>
        <w:rPr>
          <w:sz w:val="19"/>
        </w:rPr>
        <w:t>Überwiegend europäische und nordamerikanische Studien; moderate Evidenzsicherheit; selektiver Einsatz statt Routineanwendung</w:t>
      </w:r>
    </w:p>
    <w:p>
      <w:r>
        <w:rPr>
          <w:color w:val="5A7D3A"/>
          <w:sz w:val="18"/>
        </w:rPr>
        <w:t>https://pubmed.ncbi.nlm.nih.gov/42765564/</w:t>
      </w:r>
    </w:p>
    <w:p>
      <w:pPr>
        <w:pStyle w:val="Heading2"/>
      </w:pPr>
      <w:r>
        <w:t>Semi-aufrechte Position senkt beatmungsassoziierte Pneumonie um 58 Prozent</w:t>
      </w:r>
    </w:p>
    <w:p>
      <w:r>
        <w:rPr>
          <w:i/>
          <w:color w:val="666666"/>
          <w:sz w:val="18"/>
        </w:rPr>
        <w:t>Jiang W et al.  ·  Cochrane Database Syst Rev  ·  21.09.2026  ·  PMID 42765454</w:t>
      </w:r>
    </w:p>
    <w:p>
      <w:r>
        <w:t>Cochrane-Update mit 48 RCTs und 7.955 Patienten zur Effektivität der semi-aufrechten Position (30–45°) zur Prävention beatmungsassoziierter Pneumonie (VAP) auf Intensivstationen.</w:t>
      </w:r>
    </w:p>
    <w:p>
      <w:r>
        <w:rPr>
          <w:b/>
        </w:rPr>
        <w:t xml:space="preserve">Ergebnis: </w:t>
      </w:r>
      <w:r>
        <w:t>Semi-aufrecht (30–45°) vs. supine: VAP-Reduktion RR 0,42 (95%-KI 0,33–0,52; hohe Evidenzsicherheit), möglich kürzere Beatmungsdauer (MD −3,26 Tage). 30–45° vs. &lt;30°: RR 0,48 (hohe Sicherheit). Höhere Positionen erhöhten Druckgeschwüre; Sterblichkeit unterschied sich nicht.</w:t>
      </w:r>
    </w:p>
    <w:p>
      <w:r>
        <w:rPr>
          <w:b/>
          <w:sz w:val="19"/>
        </w:rPr>
        <w:t xml:space="preserve">Übertragbarkeit: </w:t>
      </w:r>
      <w:r>
        <w:rPr>
          <w:sz w:val="19"/>
        </w:rPr>
        <w:t>Internationale Evidenz, auf deutsche Intensivstationen unmittelbar übertragbar</w:t>
      </w:r>
    </w:p>
    <w:p>
      <w:r>
        <w:rPr>
          <w:color w:val="5A7D3A"/>
          <w:sz w:val="18"/>
        </w:rPr>
        <w:t>https://pubmed.ncbi.nlm.nih.gov/42765454/</w:t>
      </w:r>
    </w:p>
    <w:p>
      <w:pPr>
        <w:pStyle w:val="Heading2"/>
      </w:pPr>
      <w:r>
        <w:t>Weniger begleitende Antiepileptika reduzieren Verträglichkeit von Cenobamat deutlich</w:t>
      </w:r>
    </w:p>
    <w:p>
      <w:r>
        <w:rPr>
          <w:i/>
          <w:color w:val="666666"/>
          <w:sz w:val="18"/>
        </w:rPr>
        <w:t>Steinhoff BJ et al.  ·  Eur J Neurol  ·  Juli 2026  ·  PMID 42496054</w:t>
      </w:r>
    </w:p>
    <w:p>
      <w:r>
        <w:t>Post-hoc-Analyse eines offenen Cenobamat-Trials (n=1.340) mit fokalen Anfällen zur Quantifizierung von Häufigkeit, Schweregrad und Auflösungszeit unerwünschter Ereignisse unter verschiedenen Konkomitanzregimen.</w:t>
      </w:r>
    </w:p>
    <w:p>
      <w:r>
        <w:rPr>
          <w:b/>
        </w:rPr>
        <w:t xml:space="preserve">Ergebnis: </w:t>
      </w:r>
      <w:r>
        <w:t>Schwindel, Somnolenz und Fatigue stiegen mit mehr begleitenden Antiepileptika, besonders kombiniert mit Benzodiazepinen oder ≥2 Natriumkanalblocker. Mediane Auflösungszeit häufiger Ereignisse war kürzer bei weniger Begleitmedikation. Schwere Ereignisse nahmen mit mehr Konkomitanzmedikation zu (außer Kopfschmerz).</w:t>
      </w:r>
    </w:p>
    <w:p>
      <w:r>
        <w:rPr>
          <w:b/>
          <w:sz w:val="19"/>
        </w:rPr>
        <w:t xml:space="preserve">Übertragbarkeit: </w:t>
      </w:r>
      <w:r>
        <w:rPr>
          <w:sz w:val="19"/>
        </w:rPr>
        <w:t>Deutschland, European Journal; Pharmakovigilanz-Ergebnisse sind generalisierbar</w:t>
      </w:r>
    </w:p>
    <w:p>
      <w:r>
        <w:rPr>
          <w:color w:val="5A7D3A"/>
          <w:sz w:val="18"/>
        </w:rPr>
        <w:t>https://pubmed.ncbi.nlm.nih.gov/42496054/</w:t>
      </w:r>
    </w:p>
    <w:p>
      <w:pPr>
        <w:pStyle w:val="Heading1"/>
      </w:pPr>
      <w:r>
        <w:t>Aufgenommen am 21.09.2026</w:t>
      </w:r>
    </w:p>
    <w:p>
      <w:pPr>
        <w:pStyle w:val="Heading2"/>
      </w:pPr>
      <w:r>
        <w:t>Ärzte wünschen sich bessere REMS-Kommunikation und EMR-Integration</w:t>
      </w:r>
    </w:p>
    <w:p>
      <w:r>
        <w:rPr>
          <w:i/>
          <w:color w:val="666666"/>
          <w:sz w:val="18"/>
        </w:rPr>
        <w:t>Zakoul H et al.  ·  Pharmacoepidemiol Drug Saf  ·  Okt. 2026  ·  PMID 42764159</w:t>
      </w:r>
    </w:p>
    <w:p>
      <w:r>
        <w:t>Qualitative Studie mit 50 Ärzten, die Risk Evaluation and Mitigation Strategy (REMS)-Programme für 7 Hochrisikomedikamente anwendeten: semi-strukturierte Interviews zu Verständnis, Nutzen und Kommunikationspräferenzen.</w:t>
      </w:r>
    </w:p>
    <w:p>
      <w:r>
        <w:rPr>
          <w:b/>
        </w:rPr>
        <w:t xml:space="preserve">Ergebnis: </w:t>
      </w:r>
      <w:r>
        <w:t>Ärzte verstanden REMS-Risiken, wünschten sich aber Informationen zu nicht abgedeckten Nebenwirkungen. Manche berichteten Lücken in Enrollmentformularen; viele wünschten EMR-Integration. Bevorzugte Lernform: kurze elektronische Materialien (E-Mails, Videos) statt Papier, mit Benefit-Risk-Zusammenfassungen und Links zu Studien. Materialien sollten zeitnah aktualisiert werden.</w:t>
      </w:r>
    </w:p>
    <w:p>
      <w:r>
        <w:rPr>
          <w:b/>
          <w:sz w:val="19"/>
        </w:rPr>
        <w:t xml:space="preserve">Übertragbarkeit: </w:t>
      </w:r>
      <w:r>
        <w:rPr>
          <w:sz w:val="19"/>
        </w:rPr>
        <w:t>USA - Melde- und Haftungsrecht unterscheiden sich; Sicherheitsbefund zum Informationsbedarf übertragbar</w:t>
      </w:r>
    </w:p>
    <w:p>
      <w:r>
        <w:rPr>
          <w:color w:val="5A7D3A"/>
          <w:sz w:val="18"/>
        </w:rPr>
        <w:t>https://pubmed.ncbi.nlm.nih.gov/42764159/</w:t>
      </w:r>
    </w:p>
    <w:p>
      <w:pPr>
        <w:pStyle w:val="Heading2"/>
      </w:pPr>
      <w:r>
        <w:t>Lokale Hautdesinfektion vor Hüftfrakturchirurgie senkte Wundinfektionen nicht</w:t>
      </w:r>
    </w:p>
    <w:p>
      <w:r>
        <w:rPr>
          <w:i/>
          <w:color w:val="666666"/>
          <w:sz w:val="18"/>
        </w:rPr>
        <w:t>Sterner EM et al.  ·  Int Wound J  ·  Sept. 2026  ·  PMID 42764157</w:t>
      </w:r>
    </w:p>
    <w:p>
      <w:r>
        <w:t>Vergleich von Ganzkörper- vs. lokaler Hautdesinfektion mit Chlorhexidinglucconat vor Hüftfrakturop: 844 Patienten, 90 Tage Nachverfolgung.</w:t>
      </w:r>
    </w:p>
    <w:p>
      <w:r>
        <w:rPr>
          <w:b/>
        </w:rPr>
        <w:t xml:space="preserve">Ergebnis: </w:t>
      </w:r>
      <w:r>
        <w:t>Wundinfektionsrate 1,7%, ohne signifikanten Unterschied zwischen Ganzkörper (1,9%) und lokalen Wipes (1,0%, p&gt;0,05). Chronische Nierenerkrankung war signifikant mit lokalen Infektionen assoziiert (p=0,005). Lokale Hautdesinfektion zeigte vergleichbare Effektivität wie Ganzkörperbehandlung.</w:t>
      </w:r>
    </w:p>
    <w:p>
      <w:r>
        <w:rPr>
          <w:b/>
          <w:sz w:val="19"/>
        </w:rPr>
        <w:t xml:space="preserve">Übertragbarkeit: </w:t>
      </w:r>
      <w:r>
        <w:rPr>
          <w:sz w:val="19"/>
        </w:rPr>
        <w:t>Schweden, vergleichbare Operationsstandards und Infektionsprävention</w:t>
      </w:r>
    </w:p>
    <w:p>
      <w:r>
        <w:rPr>
          <w:color w:val="5A7D3A"/>
          <w:sz w:val="18"/>
        </w:rPr>
        <w:t>https://pubmed.ncbi.nlm.nih.gov/42764157/</w:t>
      </w:r>
    </w:p>
    <w:p>
      <w:pPr>
        <w:pStyle w:val="Heading2"/>
      </w:pPr>
      <w:r>
        <w:t>Nosokomiale Kinderseppen tödlicher als ambulant erworben: Irland 2020-2025</w:t>
      </w:r>
    </w:p>
    <w:p>
      <w:r>
        <w:rPr>
          <w:i/>
          <w:color w:val="666666"/>
          <w:sz w:val="18"/>
        </w:rPr>
        <w:t>Ravichandran N et al.  ·  Eur J Pediatr  ·  19.09.2026  ·  PMID 42763313</w:t>
      </w:r>
    </w:p>
    <w:p>
      <w:r>
        <w:t>Retrospektive Observationsstudie aller kindlichen Sepsisaufnahmen (n=4442) in Irland mit Vergleich nosokomial vs. ambulant erworben und Analyse von Komorbiditäten.</w:t>
      </w:r>
    </w:p>
    <w:p>
      <w:r>
        <w:rPr>
          <w:b/>
        </w:rPr>
        <w:t xml:space="preserve">Ergebnis: </w:t>
      </w:r>
      <w:r>
        <w:t>30,7% nosokomiale, 69,3% ambulant erworbene Sepsis. Nosokomiale Sepsis mit höherer Intensivbetreuung (84,0% vs. 32,3%, p&lt;0,001) und Mortalität (7,6% vs. 1,8%, p&lt;0,001). Komorbiditäten unabhängig assoziiert mit ICU-Aufnahme (adjustiertes OR 2,66–4,88) und Mortalität (OR 7,18), aber schwere Erkrankung auch ohne dokumentierte Komorbiditäten.</w:t>
      </w:r>
    </w:p>
    <w:p>
      <w:r>
        <w:rPr>
          <w:b/>
          <w:sz w:val="19"/>
        </w:rPr>
        <w:t xml:space="preserve">Übertragbarkeit: </w:t>
      </w:r>
      <w:r>
        <w:rPr>
          <w:sz w:val="19"/>
        </w:rPr>
        <w:t>Irland, vergleichbare britische und europäische Kindermedizin</w:t>
      </w:r>
    </w:p>
    <w:p>
      <w:r>
        <w:rPr>
          <w:color w:val="5A7D3A"/>
          <w:sz w:val="18"/>
        </w:rPr>
        <w:t>https://pubmed.ncbi.nlm.nih.gov/42763313/</w:t>
      </w:r>
    </w:p>
    <w:p>
      <w:pPr>
        <w:pStyle w:val="Heading2"/>
      </w:pPr>
      <w:r>
        <w:t>Dendritische Zellen in Sepsis: Depletion, Dysfunktion und fehlende validierte Therapieziele</w:t>
      </w:r>
    </w:p>
    <w:p>
      <w:r>
        <w:rPr>
          <w:i/>
          <w:color w:val="666666"/>
          <w:sz w:val="18"/>
        </w:rPr>
        <w:t>Xu X et al.  ·  Front Immunol  ·  03.09.2026  ·  PMID 42756155</w:t>
      </w:r>
    </w:p>
    <w:p>
      <w:r>
        <w:t>Systematische narrative Übersichtsarbeit zur Rolle dendritischer Zellen in der Sepsisimmunodysregulation, mit kritischer Bewertung von Humanstudien und Tiermodellen zu Mechanismen und therapeutischen Ansätzen.</w:t>
      </w:r>
    </w:p>
    <w:p>
      <w:r>
        <w:rPr>
          <w:b/>
        </w:rPr>
        <w:t xml:space="preserve">Ergebnis: </w:t>
      </w:r>
      <w:r>
        <w:t>Humane Blutdaten zeigen verringerte Anzahl dendritischer Zellen, veränderten Phänotyp und beeinträchtigte Reaktivität. Tierexperimente demonstrieren Depletionen in Milz, Knochemark und Geweben. Vier mögliche Beiträge: Depletion, Dysfunktion, Umverteilung, beeinträchtigte Regeneration. Keine validierten dendritischen-Zellen-Endotypen, Triggerpunkte, Biomarker oder Therapien. Blutbefunde nicht äquivalent zu Tierverstümmellungen. MregDC-Programm: explorativ ohne validiertes menschliches Äquivalent.</w:t>
      </w:r>
    </w:p>
    <w:p>
      <w:r>
        <w:rPr>
          <w:b/>
          <w:sz w:val="19"/>
        </w:rPr>
        <w:t xml:space="preserve">Übertragbarkeit: </w:t>
      </w:r>
      <w:r>
        <w:rPr>
          <w:sz w:val="19"/>
        </w:rPr>
        <w:t>Europäische und kanadische Literatur; konzeptionelle Übersicht ohne operative Messung</w:t>
      </w:r>
    </w:p>
    <w:p>
      <w:r>
        <w:rPr>
          <w:color w:val="5A7D3A"/>
          <w:sz w:val="18"/>
        </w:rPr>
        <w:t>https://pubmed.ncbi.nlm.nih.gov/42756155/</w:t>
      </w:r>
    </w:p>
    <w:p>
      <w:pPr>
        <w:pStyle w:val="Heading2"/>
      </w:pPr>
      <w:r>
        <w:t>Sepsisinduzierte Immunsuppression: Mechanismen und offene Fragen zur Therapie</w:t>
      </w:r>
    </w:p>
    <w:p>
      <w:r>
        <w:rPr>
          <w:i/>
          <w:color w:val="666666"/>
          <w:sz w:val="18"/>
        </w:rPr>
        <w:t>Couwenbergh T et al.  ·  Crit Care Clin  ·  17.06.2026  ·  PMID 42686302</w:t>
      </w:r>
    </w:p>
    <w:p>
      <w:r>
        <w:t>Narrative Übersichtsarbeit zur pathophysiologischen Rolle der Immunsuppression in der Sepsis und zur bisherigen Evidenz für immunmodulierende Therapien (Zytokine, Checkpoint-Inhibitoren, Stammzellen).</w:t>
      </w:r>
    </w:p>
    <w:p>
      <w:r>
        <w:rPr>
          <w:b/>
        </w:rPr>
        <w:t xml:space="preserve">Ergebnis: </w:t>
      </w:r>
      <w:r>
        <w:t>Hauptmechanismen: Funktionsumprograammierung von Myeloidzellen, Lymphozytenverlust, besonders CD4+ und CD8+ T-Zellen. Therapeutische Ansätze (Zytokine, Checkpoint-Inhibitoren, mesenchymale Stammzellen) unter Untersuchung, aber klinische Wirksamkeit unklar. Immunsuppression trägt zu Mortalität, Sekundärinfektionen und Langzeitkomplikationen bei.</w:t>
      </w:r>
    </w:p>
    <w:p>
      <w:r>
        <w:rPr>
          <w:b/>
          <w:sz w:val="19"/>
        </w:rPr>
        <w:t xml:space="preserve">Übertragbarkeit: </w:t>
      </w:r>
      <w:r>
        <w:rPr>
          <w:sz w:val="19"/>
        </w:rPr>
        <w:t>Niederlande, europäische Intensivmedizin; konzeptionelle Übersicht ohne Messung einer Intervention</w:t>
      </w:r>
    </w:p>
    <w:p>
      <w:r>
        <w:rPr>
          <w:color w:val="5A7D3A"/>
          <w:sz w:val="18"/>
        </w:rPr>
        <w:t>https://pubmed.ncbi.nlm.nih.gov/42686302/</w:t>
      </w:r>
    </w:p>
    <w:p>
      <w:pPr>
        <w:pStyle w:val="Heading1"/>
      </w:pPr>
      <w:r>
        <w:t>Aufgenommen am 20.09.2026</w:t>
      </w:r>
    </w:p>
    <w:p>
      <w:pPr>
        <w:pStyle w:val="Heading2"/>
      </w:pPr>
      <w:r>
        <w:t>Selbstbetreuung und Antibiotikaresistenz: Empfehlungen für nationale Programme und Selbstversorger</w:t>
      </w:r>
    </w:p>
    <w:p>
      <w:r>
        <w:rPr>
          <w:i/>
          <w:color w:val="666666"/>
          <w:sz w:val="18"/>
        </w:rPr>
        <w:t>Kiggundu R et al.  ·  Front Public Health  ·  03.09.2026  ·  PMID 42755611</w:t>
      </w:r>
    </w:p>
    <w:p>
      <w:r>
        <w:t>Narrative Übersichtsarbeit untersucht fünf Kernstrategien der Selbstbetreuung zur Eindämmung der Antibiotikaresistenz: Aufklärung, Schnelltests, gelenkte Selbstbehandlung, digitale Selbstüberwachung und strukturiertes Selbstmanagement.</w:t>
      </w:r>
    </w:p>
    <w:p>
      <w:r>
        <w:rPr>
          <w:b/>
        </w:rPr>
        <w:t xml:space="preserve">Ergebnis: </w:t>
      </w:r>
      <w:r>
        <w:t>Selbstbetreuungsstrategien ermöglichen frühe Infektionserkennung, fördern angemessene Antibiotikaanwendung und entlasten Gesundheitssysteme. Implementierung gehindert durch begrenzte Zugang zu zuverlässiger AMR-Information, Missdiagnose-Risiken, Datenschutzbedenken und Verhaltenschwierigkeiten. Policymaker sollten Richtlinienintegration, standardisierte Vorgaben, Regulation und Infrastrukturentwicklung priorisieren.</w:t>
      </w:r>
    </w:p>
    <w:p>
      <w:r>
        <w:rPr>
          <w:b/>
          <w:sz w:val="19"/>
        </w:rPr>
        <w:t xml:space="preserve">Übertragbarkeit: </w:t>
      </w:r>
      <w:r>
        <w:rPr>
          <w:sz w:val="19"/>
        </w:rPr>
        <w:t>Leitfaden für LMIC-Kontexte; Übertragbarkeit auf deutsche Strukturen gering</w:t>
      </w:r>
    </w:p>
    <w:p>
      <w:r>
        <w:rPr>
          <w:color w:val="5A7D3A"/>
          <w:sz w:val="18"/>
        </w:rPr>
        <w:t>https://pubmed.ncbi.nlm.nih.gov/42755611/</w:t>
      </w:r>
    </w:p>
    <w:p>
      <w:pPr>
        <w:pStyle w:val="Heading2"/>
      </w:pPr>
      <w:r>
        <w:t>Strukturierter Patientensicherheitskurs erhöht Wissen und systemisches Denken bei ärztlichen Jungfachkräften um signifikante Anteile</w:t>
      </w:r>
    </w:p>
    <w:p>
      <w:r>
        <w:rPr>
          <w:i/>
          <w:color w:val="666666"/>
          <w:sz w:val="18"/>
        </w:rPr>
        <w:t>Qureshi MFH et al.  ·  BMC Med Educ  ·  22.07.2026  ·  PMID 42754882</w:t>
      </w:r>
    </w:p>
    <w:p>
      <w:r>
        <w:t>Quasiexperimentelle Studie untersucht Effektivität eines Qualitäts- und Patientensicherheitsmoduls bei 166 postgraduierten ärztlichen Interns an einem tertären Krankenhaus in Pakistan.</w:t>
      </w:r>
    </w:p>
    <w:p>
      <w:r>
        <w:rPr>
          <w:b/>
        </w:rPr>
        <w:t xml:space="preserve">Ergebnis: </w:t>
      </w:r>
      <w:r>
        <w:t>Signifikante Verbesserungen nach Intervention: Testwissensscores, systemisches Denken und Wissenswirksamkeit verbesserten sich über alle Kohorten (p &lt; 0,001). Verbesserungen besonders ausgeprägt bei Interns ohne vorherige Sicherheitsschulung. Qualitative Reflexionen zeigten verbesserte Zuversicht, Teamarbeit und systemorientierte Perspektiven. Strukturierte Kurse sind wirksam, auch ohne Vorkenntnisse.</w:t>
      </w:r>
    </w:p>
    <w:p>
      <w:r>
        <w:rPr>
          <w:b/>
          <w:sz w:val="19"/>
        </w:rPr>
        <w:t xml:space="preserve">Übertragbarkeit: </w:t>
      </w:r>
      <w:r>
        <w:rPr>
          <w:sz w:val="19"/>
        </w:rPr>
        <w:t>Pakistan (LMIC), Modell adaptierbar auf deutsche ärztliche Ausbildung</w:t>
      </w:r>
    </w:p>
    <w:p>
      <w:r>
        <w:rPr>
          <w:color w:val="5A7D3A"/>
          <w:sz w:val="18"/>
        </w:rPr>
        <w:t>https://pubmed.ncbi.nlm.nih.gov/42754882/</w:t>
      </w:r>
    </w:p>
    <w:p>
      <w:pPr>
        <w:pStyle w:val="Heading2"/>
      </w:pPr>
      <w:r>
        <w:t>Antibiofilm-beschichtete Verriegelungsnägel senken Fraktionsinfektion auf 5,8 % bei risikoreichen Knochenbrüchen</w:t>
      </w:r>
    </w:p>
    <w:p>
      <w:r>
        <w:rPr>
          <w:i/>
          <w:color w:val="666666"/>
          <w:sz w:val="18"/>
        </w:rPr>
        <w:t>Vicenti G et al.  ·  J Orthop Traumatol  ·  16.09.2026  ·  PMID 42752738</w:t>
      </w:r>
    </w:p>
    <w:p>
      <w:r>
        <w:t>Observationsstudie untersucht klinische Wirksamkeit einer antibakteriell beschichteten Verriegelungsnagel bei hochrisiko-tibialen und femoralen Frakturen an 103 Patienten.</w:t>
      </w:r>
    </w:p>
    <w:p>
      <w:r>
        <w:rPr>
          <w:b/>
        </w:rPr>
        <w:t xml:space="preserve">Ergebnis: </w:t>
      </w:r>
      <w:r>
        <w:t>Fraktionsinfektion trat in 5,8 % der Fälle auf (6/103 Patienten: 7,3 % tibial, 4,2 % femoral). Alle Infektionen wurden ohne Sepsis oder Amputation erfolgreich behandelt. Knochenbruchverkeilung in 94,5 % tibial und 95,8 % femoral erreicht. Die Beschichtung könnte ein vielversprechender Ansatz sein, erfordert aber prospektive kontrollierte Studien zur Bestätigung.</w:t>
      </w:r>
    </w:p>
    <w:p>
      <w:r>
        <w:rPr>
          <w:b/>
          <w:sz w:val="19"/>
        </w:rPr>
        <w:t xml:space="preserve">Übertragbarkeit: </w:t>
      </w:r>
      <w:r>
        <w:rPr>
          <w:sz w:val="19"/>
        </w:rPr>
        <w:t>Deutschland und deutschsprachiger Raum, vergleichbare Traumatologiestudards</w:t>
      </w:r>
    </w:p>
    <w:p>
      <w:r>
        <w:rPr>
          <w:color w:val="5A7D3A"/>
          <w:sz w:val="18"/>
        </w:rPr>
        <w:t>https://pubmed.ncbi.nlm.nih.gov/42752738/</w:t>
      </w:r>
    </w:p>
    <w:p>
      <w:pPr>
        <w:pStyle w:val="Heading2"/>
      </w:pPr>
      <w:r>
        <w:t>Deterministische und stochastische Interventionen bei Medikamenteninteraktionen: Systemische Grenzen und Hybrid-Ansätze nötig</w:t>
      </w:r>
    </w:p>
    <w:p>
      <w:r>
        <w:rPr>
          <w:i/>
          <w:color w:val="666666"/>
          <w:sz w:val="18"/>
        </w:rPr>
        <w:t>Ahmad Zuber MF et al.  ·  PLoS One  ·  17.09.2026  ·  PMID 42752658</w:t>
      </w:r>
    </w:p>
    <w:p>
      <w:r>
        <w:t>Systematische Übersichtsarbeit evaluiert computergestützte oder klinische Entscheidungsunterstützungs-Interventionen zur Reduktion von Arzneimittelwechselwirkungen oder unangemessener Verschreibung gemäß PRISMA 2020-Richtlinien.</w:t>
      </w:r>
    </w:p>
    <w:p>
      <w:r>
        <w:rPr>
          <w:b/>
        </w:rPr>
        <w:t xml:space="preserve">Ergebnis: </w:t>
      </w:r>
      <w:r>
        <w:t>Zehn Studien eingeschlossen. Frühe deterministische Systeme zeigten bescheidene Verbesserungen bei Verschreibungsprozessen, aber inkonsistente Links zu Patientenergebnissen. Neuere stochastische/generative Modelle berichten starke interne Performance-Metriken, aber hohes Bias-Risiko bei der Validierung, unzureichende externe Validierung, mangelnde Overfitting-Kontrolle. Deterministische Systeme bieten Transparenz, aber keine Anpassung an Patientenkontexte. Hybrid-Architekturen mit validierten stochastischen und erklärbar regelgestützten Komponenten sind erforderlich.</w:t>
      </w:r>
    </w:p>
    <w:p>
      <w:r>
        <w:rPr>
          <w:b/>
          <w:sz w:val="19"/>
        </w:rPr>
        <w:t xml:space="preserve">Übertragbarkeit: </w:t>
      </w:r>
      <w:r>
        <w:rPr>
          <w:sz w:val="19"/>
        </w:rPr>
        <w:t>Internationale Übersicht, Designprinzipien auf Deutschland anwendbar</w:t>
      </w:r>
    </w:p>
    <w:p>
      <w:r>
        <w:rPr>
          <w:color w:val="5A7D3A"/>
          <w:sz w:val="18"/>
        </w:rPr>
        <w:t>https://pubmed.ncbi.nlm.nih.gov/42752658/</w:t>
      </w:r>
    </w:p>
    <w:p>
      <w:pPr>
        <w:pStyle w:val="Heading2"/>
      </w:pPr>
      <w:r>
        <w:t>Intelligentes Katheter-Warnsystem reduziert ungeplante Extubation um 41 bis 48 Prozent</w:t>
      </w:r>
    </w:p>
    <w:p>
      <w:r>
        <w:rPr>
          <w:i/>
          <w:color w:val="666666"/>
          <w:sz w:val="18"/>
        </w:rPr>
        <w:t>Lu Y et al.  ·  Health Informatics J  ·  17.09.2026  ·  PMID 42752222</w:t>
      </w:r>
    </w:p>
    <w:p>
      <w:r>
        <w:t>Vorher-nachher-Studie in tertärem Krankenhaus evaluiert intelligentes Katheter-Risikowarn-System mit integrierter Pflege, Wartungsübersicht und QR-Patienten-Aufklärung bei 205 Pflegekräften und Patienten mit Katheter.</w:t>
      </w:r>
    </w:p>
    <w:p>
      <w:r>
        <w:rPr>
          <w:b/>
        </w:rPr>
        <w:t xml:space="preserve">Ergebnis: </w:t>
      </w:r>
      <w:r>
        <w:t>Ungeplante Nasenmagen-Schlauch-Entfernung sank von 0,852 ‰ auf 0,501 ‰ (-41 %). Ungeplante Blasenkatheter-Entfernung sank von 0,219 ‰ auf 0,114 ‰ (-48 %). PSSUQ-Scores und Pflegezufriedenheit verbesserten sich signifikant (p &lt; 0,001). Beschriftungsfehler reduzierten sich. System verbessert dokumentierbar Patientensicherheit bei Katheterpflege.</w:t>
      </w:r>
    </w:p>
    <w:p>
      <w:r>
        <w:rPr>
          <w:b/>
          <w:sz w:val="19"/>
        </w:rPr>
        <w:t xml:space="preserve">Übertragbarkeit: </w:t>
      </w:r>
      <w:r>
        <w:rPr>
          <w:sz w:val="19"/>
        </w:rPr>
        <w:t>China, technisches System; Prinzip auf deutsche Kliniken übertragbar</w:t>
      </w:r>
    </w:p>
    <w:p>
      <w:r>
        <w:rPr>
          <w:color w:val="5A7D3A"/>
          <w:sz w:val="18"/>
        </w:rPr>
        <w:t>https://pubmed.ncbi.nlm.nih.gov/42752222/</w:t>
      </w:r>
    </w:p>
    <w:p>
      <w:pPr>
        <w:pStyle w:val="Heading2"/>
      </w:pPr>
      <w:r>
        <w:t>Nosokomiale Infektionen nach Gesichtsverletzungen im Kriegseinsatz: 40,9 % Rate bei 2.631 ukrainischen Patienten</w:t>
      </w:r>
    </w:p>
    <w:p>
      <w:r>
        <w:rPr>
          <w:i/>
          <w:color w:val="666666"/>
          <w:sz w:val="18"/>
        </w:rPr>
        <w:t>Salmanov AG et al.  ·  Wiad Lek  ·  2026  ·  PMID 42748302</w:t>
      </w:r>
    </w:p>
    <w:p>
      <w:r>
        <w:t>Multizentrische prospektive Beobachtungsstudie untersucht nosokomiale Infektionen nach kiefer-oralchirurgischen Verfahren bei Patienten mit kampfbezogenen Kopf- und Halsverletzungen 2022–2025 in der Ukraine.</w:t>
      </w:r>
    </w:p>
    <w:p>
      <w:r>
        <w:rPr>
          <w:b/>
        </w:rPr>
        <w:t xml:space="preserve">Ergebnis: </w:t>
      </w:r>
      <w:r>
        <w:t>Unter 2.631 Patienten entwickelten 40,9 % (1.075) nosokomiale Infektionen. Häufigste Typ: chirurgische Infektionen 54 %, Knochen-Gelenk-Infektionen 14,2 %, Pneumonie 12,2 %, Harnwegsinfektionen 8,6 %, Sepsis 6,6 %. Risikofaktoren: Intensivaufenthalt, Intubation, Katheter. Hohes Infektionsaufkommen unter Bedingungen extremer Verletzungsschwere zeigt Grenzen der Infektionsprävention auf.</w:t>
      </w:r>
    </w:p>
    <w:p>
      <w:r>
        <w:rPr>
          <w:b/>
          <w:sz w:val="19"/>
        </w:rPr>
        <w:t xml:space="preserve">Übertragbarkeit: </w:t>
      </w:r>
      <w:r>
        <w:rPr>
          <w:sz w:val="19"/>
        </w:rPr>
        <w:t>Osteuropa unter Kriegsbedingungen, begrenzte Übertragbarkeit auf Standards</w:t>
      </w:r>
    </w:p>
    <w:p>
      <w:r>
        <w:rPr>
          <w:color w:val="5A7D3A"/>
          <w:sz w:val="18"/>
        </w:rPr>
        <w:t>https://pubmed.ncbi.nlm.nih.gov/42748302/</w:t>
      </w:r>
    </w:p>
    <w:p>
      <w:pPr>
        <w:pStyle w:val="Heading1"/>
      </w:pPr>
      <w:r>
        <w:t>Aufgenommen am 19.09.2026</w:t>
      </w:r>
    </w:p>
    <w:p>
      <w:pPr>
        <w:pStyle w:val="Heading2"/>
      </w:pPr>
      <w:r>
        <w:t>ADRe-Profil senkte Medikationsprobleme bei älteren Patienten um 82%</w:t>
      </w:r>
    </w:p>
    <w:p>
      <w:r>
        <w:rPr>
          <w:i/>
          <w:color w:val="666666"/>
          <w:sz w:val="18"/>
        </w:rPr>
        <w:t>Logan V et al.  ·  PLoS One  ·  18.09.2026  ·  PMID 42758689</w:t>
      </w:r>
    </w:p>
    <w:p>
      <w:r>
        <w:t>Cluster-randomisierte Studie zur Frage, ob ein Adverse Drug Reaction Profile bei Patienten ≥65 Jahren mit über 4 Dauermedikationen in der Hausarztpraxis unerwünschte Arzneimittelwirkungen und Polypharmzie-Probleme reduziert.</w:t>
      </w:r>
    </w:p>
    <w:p>
      <w:r>
        <w:rPr>
          <w:b/>
        </w:rPr>
        <w:t xml:space="preserve">Ergebnis: </w:t>
      </w:r>
      <w:r>
        <w:t>82% der Interventionsgruppe (22/27 Patienten) hatten mindestens ein bearbeitetes Problem vs. 35% der Kontrollgruppe (11/30), adjustierte Odds Ratio 7,48 (95%-KI 1,99–28,10). B12-Mangel und Flecainide-Demedikation wurden kritisch erkannt; weniger Schmerzberichte in der Interventionsgruppe.</w:t>
      </w:r>
    </w:p>
    <w:p>
      <w:r>
        <w:rPr>
          <w:b/>
          <w:sz w:val="19"/>
        </w:rPr>
        <w:t xml:space="preserve">Übertragbarkeit: </w:t>
      </w:r>
      <w:r>
        <w:rPr>
          <w:sz w:val="19"/>
        </w:rPr>
        <w:t>Großbritannien/Wales, vergleichbare primärärztliche Dokumentation und Polypharmzie-Problematik</w:t>
      </w:r>
    </w:p>
    <w:p>
      <w:r>
        <w:rPr>
          <w:color w:val="5A7D3A"/>
          <w:sz w:val="18"/>
        </w:rPr>
        <w:t>https://pubmed.ncbi.nlm.nih.gov/42758689/</w:t>
      </w:r>
    </w:p>
    <w:p>
      <w:pPr>
        <w:pStyle w:val="Heading2"/>
      </w:pPr>
      <w:r>
        <w:t>Sieben unabhängige Risikofaktoren für Druckgeschwüre nach Hüftfrakturchirurgie</w:t>
      </w:r>
    </w:p>
    <w:p>
      <w:r>
        <w:rPr>
          <w:i/>
          <w:color w:val="666666"/>
          <w:sz w:val="18"/>
        </w:rPr>
        <w:t>Zhao Y et al.  ·  J Wound Ostomy Continence Nurs  ·  Sept. 2026  ·  PMID 42758160</w:t>
      </w:r>
    </w:p>
    <w:p>
      <w:r>
        <w:t>US-amerikanische Beobachtungsstudie mit 14.523 Hüftfrakturpatienten (2019) aus der NSQIP-Datenbank zur Identifizierung unabhängiger Risikofaktoren für nosokomiale Druckgeschwüre nach operativer Versorgung.</w:t>
      </w:r>
    </w:p>
    <w:p>
      <w:r>
        <w:rPr>
          <w:b/>
        </w:rPr>
        <w:t xml:space="preserve">Ergebnis: </w:t>
      </w:r>
      <w:r>
        <w:t>4,3% entwickelten mindestens ein Druckgeschwür (628/14.523). Unabhängige Risikofaktoren: Alter &gt;70 Jahre (OR 1,488), BMI &lt;18,5 kg/m² (OR 1,347), Gewichtsverlust &gt;10% in 6 Monaten (OR 2,775), Mobilitätshilfe präoperativ (OR 1,833), Insulinabhängigkeit (OR 1,753), BUN &gt;24 mg/dL (OR 1,634), Aufnahme-zu-OP-Intervall &gt;1 Tag (OR 1,400).</w:t>
      </w:r>
    </w:p>
    <w:p>
      <w:r>
        <w:rPr>
          <w:b/>
          <w:sz w:val="19"/>
        </w:rPr>
        <w:t xml:space="preserve">Übertragbarkeit: </w:t>
      </w:r>
      <w:r>
        <w:rPr>
          <w:sz w:val="19"/>
        </w:rPr>
        <w:t>USA, aber Risikofaktor-Profil und NSQIP-Methodik in deutschen Kliniken anwendbar</w:t>
      </w:r>
    </w:p>
    <w:p>
      <w:r>
        <w:rPr>
          <w:color w:val="5A7D3A"/>
          <w:sz w:val="18"/>
        </w:rPr>
        <w:t>https://pubmed.ncbi.nlm.nih.gov/42758160/</w:t>
      </w:r>
    </w:p>
    <w:p>
      <w:pPr>
        <w:pStyle w:val="Heading2"/>
      </w:pPr>
      <w:r>
        <w:t>Tuberkulose-Infektionskontroll-Plan: 70% Compliance aber massive Governance-Lücken</w:t>
      </w:r>
    </w:p>
    <w:p>
      <w:r>
        <w:rPr>
          <w:i/>
          <w:color w:val="666666"/>
          <w:sz w:val="18"/>
        </w:rPr>
        <w:t>Espinosa M et al.  ·  Biomedica  ·  20.08.2026  ·  PMID 42757801</w:t>
      </w:r>
    </w:p>
    <w:p>
      <w:r>
        <w:t>Evaluative Studie mit Mixed-Methods in Cali, Kolumbien zur Bewertung der institutionellen Kapazitäten eines seit 2016 implementierten Tuberkulose-Infektionskontroll-Plans in Gesundheitseinrichtungen mit TB-Programmen.</w:t>
      </w:r>
    </w:p>
    <w:p>
      <w:r>
        <w:rPr>
          <w:b/>
        </w:rPr>
        <w:t xml:space="preserve">Ergebnis: </w:t>
      </w:r>
      <w:r>
        <w:t>Durchschnittliches Compliance: 70,8% administrative Maßnahmen, 62,1% Umweltkon trolle, 90,5% Atemschutz. Mängel: fehlender nationaler Rahmen, hohe Personalfluktuation, unzureichende Schulung, Investitionslücken, mangelnde Überwachung arbeitsbezogener TB. Stärken: Erfassung symptomatischer Atemwegspatienten, Verfügbarkeit von Schutzausrüstung.</w:t>
      </w:r>
    </w:p>
    <w:p>
      <w:r>
        <w:rPr>
          <w:b/>
          <w:sz w:val="19"/>
        </w:rPr>
        <w:t xml:space="preserve">Übertragbarkeit: </w:t>
      </w:r>
      <w:r>
        <w:rPr>
          <w:sz w:val="19"/>
        </w:rPr>
        <w:t>Kolumbien, aber Struktur-Gap-Analyse für Infektionskontroll-Programme übertragbar auf Schwellenländer</w:t>
      </w:r>
    </w:p>
    <w:p>
      <w:r>
        <w:rPr>
          <w:color w:val="5A7D3A"/>
          <w:sz w:val="18"/>
        </w:rPr>
        <w:t>https://pubmed.ncbi.nlm.nih.gov/42757801/</w:t>
      </w:r>
    </w:p>
    <w:p>
      <w:pPr>
        <w:pStyle w:val="Heading2"/>
      </w:pPr>
      <w:r>
        <w:t>Stromausfälle durch Treibstoffmangel: Kaskadierende Patientensicherheits-Ausfälle in Konflikt-Szenarios</w:t>
      </w:r>
    </w:p>
    <w:p>
      <w:r>
        <w:rPr>
          <w:i/>
          <w:color w:val="666666"/>
          <w:sz w:val="18"/>
        </w:rPr>
        <w:t>Warrier AR et al.  ·  BMJ Open Qual  ·  17.09.2026  ·  PMID 42754290</w:t>
      </w:r>
    </w:p>
    <w:p>
      <w:r>
        <w:t>Proaktive Fehlermodalitäts- und Effektanalyse (FMEA) an 455-Bett-Klinik Südindien zur Modellierung von Patientensicherheitsrisiken bei akutem Treibstoff-/Flüssiggasausfall in geopolitischem Konflikt-Szenario.</w:t>
      </w:r>
    </w:p>
    <w:p>
      <w:r>
        <w:rPr>
          <w:b/>
        </w:rPr>
        <w:t xml:space="preserve">Ergebnis: </w:t>
      </w:r>
      <w:r>
        <w:t>62 Fehlerszenarien: 5 kritisch (RPNs ≥200), 17 hoch (150–199), 34 mittel (100–149), 6 niedrig (&lt;100). Generator/Stromversorgung Mittelwert RPN 171,0 = Systemamplifikator. Wäscherei (OP/ICU-Wäsche-Sterilisation): höchstes Einzelrisiko RPN 240. Küche LPG-abhängig: durchschnittlich 163,4.</w:t>
      </w:r>
    </w:p>
    <w:p>
      <w:r>
        <w:rPr>
          <w:b/>
          <w:sz w:val="19"/>
        </w:rPr>
        <w:t xml:space="preserve">Übertragbarkeit: </w:t>
      </w:r>
      <w:r>
        <w:rPr>
          <w:sz w:val="19"/>
        </w:rPr>
        <w:t>Indien, aber Kaskadenanalyse und Ausfallmuster sind für deutsche Krankenhäuser in Krisenszenarios anwendbar</w:t>
      </w:r>
    </w:p>
    <w:p>
      <w:r>
        <w:rPr>
          <w:color w:val="5A7D3A"/>
          <w:sz w:val="18"/>
        </w:rPr>
        <w:t>https://pubmed.ncbi.nlm.nih.gov/42754290/</w:t>
      </w:r>
    </w:p>
    <w:p>
      <w:pPr>
        <w:pStyle w:val="Heading2"/>
      </w:pPr>
      <w:r>
        <w:t>Mangelhaft vermitteltes Management-Support gefährdet psychologische Genesung nach Arbeitsverletzung</w:t>
      </w:r>
    </w:p>
    <w:p>
      <w:r>
        <w:rPr>
          <w:i/>
          <w:color w:val="666666"/>
          <w:sz w:val="18"/>
        </w:rPr>
        <w:t>Dawson A et al.  ·  J Safety Res  ·  26.05.2026  ·  PMID 42744463</w:t>
      </w:r>
    </w:p>
    <w:p>
      <w:r>
        <w:t>Zwei britische Querschnittsstudien mit Eisenbahnwerkstatt-Mitarbeitern (N₁=264, N₂=117), ob organisationale Sicherheitsunterstützung durch Vorgesetzte die psychische Belastung und emotionales Wohlbefinden nach beruflicher Verletzung moderiert.</w:t>
      </w:r>
    </w:p>
    <w:p>
      <w:r>
        <w:rPr>
          <w:b/>
        </w:rPr>
        <w:t xml:space="preserve">Ergebnis: </w:t>
      </w:r>
      <w:r>
        <w:t>Support von direkten Vorgesetzten und Kollegen moderierte nicht. Support des Top-Managements zeigte bei häufigeren Verletzungen kontraintuitiv: höhere wahrgenommene Unterstützung war mit niedrigerem positiven Affekt assoziiert – Effekt der Glaubwürdigkeitslücke zwischen symbolischer und gelebter Praxis.</w:t>
      </w:r>
    </w:p>
    <w:p>
      <w:r>
        <w:rPr>
          <w:b/>
          <w:sz w:val="19"/>
        </w:rPr>
        <w:t xml:space="preserve">Übertragbarkeit: </w:t>
      </w:r>
      <w:r>
        <w:rPr>
          <w:sz w:val="19"/>
        </w:rPr>
        <w:t>Großbritannien, Eisenbahn-Sicherheitskultur, aber Befund zu Vertrauensdefiziten ist systemübergreifend</w:t>
      </w:r>
    </w:p>
    <w:p>
      <w:r>
        <w:rPr>
          <w:color w:val="5A7D3A"/>
          <w:sz w:val="18"/>
        </w:rPr>
        <w:t>https://pubmed.ncbi.nlm.nih.gov/42744463/</w:t>
      </w:r>
    </w:p>
    <w:p>
      <w:pPr>
        <w:pStyle w:val="Heading2"/>
      </w:pPr>
      <w:r>
        <w:t>Verzögerte Entlassungsberichte zeigten keinen Sicherheitseffekt nach Pneumonie-Hospitalisierung</w:t>
      </w:r>
    </w:p>
    <w:p>
      <w:r>
        <w:rPr>
          <w:i/>
          <w:color w:val="666666"/>
          <w:sz w:val="18"/>
        </w:rPr>
        <w:t>Danjou A et al.  ·  Int J Qual Health Care  ·  08.07.2026  ·  PMID 42623130</w:t>
      </w:r>
    </w:p>
    <w:p>
      <w:r>
        <w:t>Französische Kohortenstudie zu 1004 Patienten nach Hospitalisierung wegen ambulant erworbener Lungenentzündung, ob das Fehlen einer am Entlasstag erstellten Entlassdokumentation die 30-Tage-Mortalität und Wiederaufnahmen erhöht.</w:t>
      </w:r>
    </w:p>
    <w:p>
      <w:r>
        <w:rPr>
          <w:b/>
        </w:rPr>
        <w:t xml:space="preserve">Ergebnis: </w:t>
      </w:r>
      <w:r>
        <w:t>Entlassdokumentation lag bei 30% am Entlasstag vor (305/1004). Nach Propensity-Score-Gewichtung: unerwünschte Ereignisse 12% vs. 14% (OR 1,12; 95%-KI 0,72–1,75), Wiederaufnahmen 9,6% vs. 10% (OR 1,09; 95%-KI 0,65–1,84), Mortalität 6,9% vs. 4,3% (OR 0,61; 95%-KI 0,31–1,21) – kein signifikanter Unterschied.</w:t>
      </w:r>
    </w:p>
    <w:p>
      <w:r>
        <w:rPr>
          <w:b/>
          <w:sz w:val="19"/>
        </w:rPr>
        <w:t xml:space="preserve">Übertragbarkeit: </w:t>
      </w:r>
      <w:r>
        <w:rPr>
          <w:sz w:val="19"/>
        </w:rPr>
        <w:t>Frankreich, nationales Gesundheitsdatensystem, ähnliche Entlassdokumentationspflichten</w:t>
      </w:r>
    </w:p>
    <w:p>
      <w:r>
        <w:rPr>
          <w:color w:val="5A7D3A"/>
          <w:sz w:val="18"/>
        </w:rPr>
        <w:t>https://pubmed.ncbi.nlm.nih.gov/42623130/</w:t>
      </w:r>
    </w:p>
    <w:p>
      <w:pPr>
        <w:pStyle w:val="Heading1"/>
      </w:pPr>
      <w:r>
        <w:t>Aufgenommen am 18.09.2026</w:t>
      </w:r>
    </w:p>
    <w:p>
      <w:pPr>
        <w:pStyle w:val="Heading2"/>
      </w:pPr>
      <w:r>
        <w:t>MedDRA-Standardisierung halbierte Sicherheitsmeldelücken in Operationsstudien</w:t>
      </w:r>
    </w:p>
    <w:p>
      <w:r>
        <w:rPr>
          <w:i/>
          <w:color w:val="666666"/>
          <w:sz w:val="18"/>
        </w:rPr>
        <w:t>Camasso NC et al.  ·  BMJ Open  ·  17.09.2026  ·  PMID 42754271</w:t>
      </w:r>
    </w:p>
    <w:p>
      <w:r>
        <w:t>Querschnittsanalyse untersuchte, ob standardisierte Nomenklatur (MedDRA) für Nebenwirkungen die Qualität der Sicherheitsberichterstattung in chirurgischen Randomisierungsstudien verbessert.</w:t>
      </w:r>
    </w:p>
    <w:p>
      <w:r>
        <w:rPr>
          <w:b/>
        </w:rPr>
        <w:t xml:space="preserve">Ergebnis: </w:t>
      </w:r>
      <w:r>
        <w:t>Nur 18,8% der 116 Studien nutzten MedDRA. Mit MedDRA: vollständigere Berichte (p&lt;0,001), Concordance Registry-Publication 60% vs. 82% Diskrepanz, Mortalitätsmeldungen 60% vs. 82% Diskordanz. Industriefinanzierung und US-Beteiligung erhöhten MedDRA-Adoption um Faktor 29 bzw. 4,6.</w:t>
      </w:r>
    </w:p>
    <w:p>
      <w:r>
        <w:rPr>
          <w:b/>
          <w:sz w:val="19"/>
        </w:rPr>
        <w:t xml:space="preserve">Übertragbarkeit: </w:t>
      </w:r>
      <w:r>
        <w:rPr>
          <w:sz w:val="19"/>
        </w:rPr>
        <w:t>Universelles Problem Chirurgieforschung, MedDRA auch in deutschsprachigen Kliniken einsetzbar.</w:t>
      </w:r>
    </w:p>
    <w:p>
      <w:r>
        <w:rPr>
          <w:color w:val="5A7D3A"/>
          <w:sz w:val="18"/>
        </w:rPr>
        <w:t>https://pubmed.ncbi.nlm.nih.gov/42754271/</w:t>
      </w:r>
    </w:p>
    <w:p>
      <w:pPr>
        <w:pStyle w:val="Heading2"/>
      </w:pPr>
      <w:r>
        <w:t>Pflegeleiter-Bundle senkte Pneumonierisiko bei septischen Bauchpatienten um 40 Prozent</w:t>
      </w:r>
    </w:p>
    <w:p>
      <w:r>
        <w:rPr>
          <w:i/>
          <w:color w:val="666666"/>
          <w:sz w:val="18"/>
        </w:rPr>
        <w:t>Xu Y et al.  ·  Crit Care  ·  14.09.2026  ·  PMID 42750044</w:t>
      </w:r>
    </w:p>
    <w:p>
      <w:r>
        <w:t>Studie untersuchte, ob ein Pflege-Behandlungsbündel für Atemwegsmanagement die Pneumonierate bei kritisch kranken Patienten mit Abdominalempyem senkt.</w:t>
      </w:r>
    </w:p>
    <w:p>
      <w:r>
        <w:rPr>
          <w:b/>
        </w:rPr>
        <w:t xml:space="preserve">Ergebnis: </w:t>
      </w:r>
      <w:r>
        <w:t>Das Bundle reduzierte Pneumonieinzidenz von 42,2% auf 25,6% (OR 0,39; 95%-KI 0,28–0,54; p&lt;0,001), Krankenhausaufenthalt um 20% und 28-Tage-Mortalität von 22,8% auf 18,3%. Fünf Sensitivitätsanalysen bestätigten Robustheit ohne Heterogenität zwischen Zentren.</w:t>
      </w:r>
    </w:p>
    <w:p>
      <w:r>
        <w:rPr>
          <w:b/>
          <w:sz w:val="19"/>
        </w:rPr>
        <w:t xml:space="preserve">Übertragbarkeit: </w:t>
      </w:r>
      <w:r>
        <w:rPr>
          <w:sz w:val="19"/>
        </w:rPr>
        <w:t>China, aber strukturierte Bundle-Ansätze auf Intensivstationen sind international etabliert.</w:t>
      </w:r>
    </w:p>
    <w:p>
      <w:r>
        <w:rPr>
          <w:color w:val="5A7D3A"/>
          <w:sz w:val="18"/>
        </w:rPr>
        <w:t>https://pubmed.ncbi.nlm.nih.gov/42750044/</w:t>
      </w:r>
    </w:p>
    <w:p>
      <w:pPr>
        <w:pStyle w:val="Heading2"/>
      </w:pPr>
      <w:r>
        <w:t>Pathogen-PCR-Diagnostik senkte unnötige Antibiotika und verbesserte Sepsis-Überleben</w:t>
      </w:r>
    </w:p>
    <w:p>
      <w:r>
        <w:rPr>
          <w:i/>
          <w:color w:val="666666"/>
          <w:sz w:val="18"/>
        </w:rPr>
        <w:t>Zhang H et al.  ·  Nat Commun  ·  20.08.2026  ·  PMID 42749736</w:t>
      </w:r>
    </w:p>
    <w:p>
      <w:r>
        <w:t>Randomisierte Studie testete, ob digitale PCR-Diagnostik die Antibiotikaanpassung bei Sepsis-Verdacht steuert und Sterblichkeit senkt.</w:t>
      </w:r>
    </w:p>
    <w:p>
      <w:r>
        <w:rPr>
          <w:b/>
        </w:rPr>
        <w:t xml:space="preserve">Ergebnis: </w:t>
      </w:r>
      <w:r>
        <w:t>ddPCR erhöhte korrekte Antibiotikaabdeckung von 6,1% auf 12,91% (p=0,0039), Tagesmelder schneller. Pathogenenlast &gt;3051 Kopien/ml (Tag 0), &gt;404 (Tag 3), &gt;1348 (Tag 7) vorhersagend für 28-Tage-Mortalität. Frühe genauigkeitsbasierte Therapieanpassung verbesserte Überleben signifikant.</w:t>
      </w:r>
    </w:p>
    <w:p>
      <w:r>
        <w:rPr>
          <w:b/>
          <w:sz w:val="19"/>
        </w:rPr>
        <w:t xml:space="preserve">Übertragbarkeit: </w:t>
      </w:r>
      <w:r>
        <w:rPr>
          <w:sz w:val="19"/>
        </w:rPr>
        <w:t>China-Daten, aber Diagnostik-Prinzip auf Sepsis-Erkennung universell übertragbar.</w:t>
      </w:r>
    </w:p>
    <w:p>
      <w:r>
        <w:rPr>
          <w:color w:val="5A7D3A"/>
          <w:sz w:val="18"/>
        </w:rPr>
        <w:t>https://pubmed.ncbi.nlm.nih.gov/42749736/</w:t>
      </w:r>
    </w:p>
    <w:p>
      <w:pPr>
        <w:pStyle w:val="Heading2"/>
      </w:pPr>
      <w:r>
        <w:t>Sicherheitsclutter-Taxonomie identifiziert verschleuerte Prozesse, die Schaden nicht mindern</w:t>
      </w:r>
    </w:p>
    <w:p>
      <w:r>
        <w:rPr>
          <w:i/>
          <w:color w:val="666666"/>
          <w:sz w:val="18"/>
        </w:rPr>
        <w:t>Raheemy Y et al.  ·  J Safety Res  ·  15.06.2026  ·  PMID 42744505</w:t>
      </w:r>
    </w:p>
    <w:p>
      <w:r>
        <w:t>Qualitative Studie mit Expertenfokusgruppen und 11 Jobsite-Ethnografien (Bauwesen) entwickelt eine Diagnose-Klassifikation für Sicherheitsmaßnahmen, die Zeit verschwenden.</w:t>
      </w:r>
    </w:p>
    <w:p>
      <w:r>
        <w:rPr>
          <w:b/>
        </w:rPr>
        <w:t xml:space="preserve">Ergebnis: </w:t>
      </w:r>
      <w:r>
        <w:t>Sicherheitsclutter definiert als Aufwand, der ohne Sicherheitsgewinn Ressourcen bindet: bedingte Clutter (exzessiv, irrelevant, unerreichbar) und reine Clutter (ungültig). 11 Clutter-Typen mit Erkennungszeichen und Fallbeispielen benannt, Triangulation Fokusgruppe-Ethnografie validiert Kategoriengrenzen.</w:t>
      </w:r>
    </w:p>
    <w:p>
      <w:r>
        <w:rPr>
          <w:b/>
          <w:sz w:val="19"/>
        </w:rPr>
        <w:t xml:space="preserve">Übertragbarkeit: </w:t>
      </w:r>
      <w:r>
        <w:rPr>
          <w:sz w:val="19"/>
        </w:rPr>
        <w:t>Bauwesen primär, Konzept auf Krankenhausprozesse (Fehlermeldesysteme, Dokumentation) übertragbar.</w:t>
      </w:r>
    </w:p>
    <w:p>
      <w:r>
        <w:rPr>
          <w:color w:val="5A7D3A"/>
          <w:sz w:val="18"/>
        </w:rPr>
        <w:t>https://pubmed.ncbi.nlm.nih.gov/42744505/</w:t>
      </w:r>
    </w:p>
    <w:p>
      <w:pPr>
        <w:pStyle w:val="Heading2"/>
      </w:pPr>
      <w:r>
        <w:t>Digitalisierung steigert Arbeitsschutzegoismus, wenn Mitsprache fehlt – Spanien und Dänemark</w:t>
      </w:r>
    </w:p>
    <w:p>
      <w:r>
        <w:rPr>
          <w:i/>
          <w:color w:val="666666"/>
          <w:sz w:val="18"/>
        </w:rPr>
        <w:t>Foncubierta-Rodríguez MJ  ·  J Safety Res  ·  17.08.2026  ·  PMID 42744499</w:t>
      </w:r>
    </w:p>
    <w:p>
      <w:r>
        <w:t>Querschnittswiederholung (ESENER 2019/2024) testet, ob Digitalisierung universell zum Reaktions- statt Präventivsicherheit führt und wie Mitarbeitermitsprache puffert.</w:t>
      </w:r>
    </w:p>
    <w:p>
      <w:r>
        <w:rPr>
          <w:b/>
        </w:rPr>
        <w:t xml:space="preserve">Ergebnis: </w:t>
      </w:r>
      <w:r>
        <w:t>Digitalisierung triggert überall Organisationsreaktivität; Arbeitermitsprache war 2019 inaktiv (nonsignifikant), 2024 aktiver Schutzfaktor gegen Reaktivität (β=0,547; p&lt;0,001). Traditionelle Industrie 2024 deutlich schlechter in Sicherheitsmanagement als Dienstleistung. Strukturelle Schichtung nach Sektor neu in post-pandemischer Ära.</w:t>
      </w:r>
    </w:p>
    <w:p>
      <w:r>
        <w:rPr>
          <w:b/>
          <w:sz w:val="19"/>
        </w:rPr>
        <w:t xml:space="preserve">Übertragbarkeit: </w:t>
      </w:r>
      <w:r>
        <w:rPr>
          <w:sz w:val="19"/>
        </w:rPr>
        <w:t>Spanien/Dänemark-Daten, EU-Risikomanagement-Rahmen, aber Befund zur Digitalisierungs-Reaktivität systemunabhängig.</w:t>
      </w:r>
    </w:p>
    <w:p>
      <w:r>
        <w:rPr>
          <w:color w:val="5A7D3A"/>
          <w:sz w:val="18"/>
        </w:rPr>
        <w:t>https://pubmed.ncbi.nlm.nih.gov/42744499/</w:t>
      </w:r>
    </w:p>
    <w:p>
      <w:pPr>
        <w:pStyle w:val="Heading2"/>
      </w:pPr>
      <w:r>
        <w:t>Multipack-Implantate kürzten OP-Zeit und Verpackungsabfall in Wirbelsäulenchirurgie</w:t>
      </w:r>
    </w:p>
    <w:p>
      <w:r>
        <w:rPr>
          <w:i/>
          <w:color w:val="666666"/>
          <w:sz w:val="18"/>
        </w:rPr>
        <w:t>Bludau F et al.  ·  Medicina (Kaunas)  ·  26.06.2026  ·  PMID 42512785</w:t>
      </w:r>
    </w:p>
    <w:p>
      <w:r>
        <w:t>HTA-Vergleichsstudie mit Messungen während acht Fusionen bewertete Einzelimplantat- gegen Multipack-Versorgung auf Workflow, Materialverbrauch und CO2-Bilanz.</w:t>
      </w:r>
    </w:p>
    <w:p>
      <w:r>
        <w:rPr>
          <w:b/>
        </w:rPr>
        <w:t xml:space="preserve">Ergebnis: </w:t>
      </w:r>
      <w:r>
        <w:t>Multipack senkte Griffzeit um 58% (25,4 s vs. 58,7 s; p=0,004), Steriltransferaufwand um Faktor 4,76, Verpackungsvolumen um Faktor 5,6, CO2-Äquivalent 0,017 kg vs. 0,026 kg. Personalzufriedenheit 73% positiv; Nachteil: möglicher Materialabfall ungenutzter Implantate.</w:t>
      </w:r>
    </w:p>
    <w:p>
      <w:r>
        <w:rPr>
          <w:b/>
          <w:sz w:val="19"/>
        </w:rPr>
        <w:t xml:space="preserve">Übertragbarkeit: </w:t>
      </w:r>
      <w:r>
        <w:rPr>
          <w:sz w:val="19"/>
        </w:rPr>
        <w:t>Deutschland: Universitätsklinikum Mannheim, vergleichbare Operationsumgebung und Dokumentationspflichten.</w:t>
      </w:r>
    </w:p>
    <w:p>
      <w:r>
        <w:rPr>
          <w:color w:val="5A7D3A"/>
          <w:sz w:val="18"/>
        </w:rPr>
        <w:t>https://pubmed.ncbi.nlm.nih.gov/42512785/</w:t>
      </w:r>
    </w:p>
    <w:p>
      <w:pPr>
        <w:pStyle w:val="Heading1"/>
      </w:pPr>
      <w:r>
        <w:t>Aufgenommen am 17.09.2026</w:t>
      </w:r>
    </w:p>
    <w:p>
      <w:pPr>
        <w:pStyle w:val="Heading2"/>
      </w:pPr>
      <w:r>
        <w:t>Nachhaltige Schutzausrüstung reduziert Carbon-Footprint ohne Infektionsrisiko</w:t>
      </w:r>
    </w:p>
    <w:p>
      <w:r>
        <w:rPr>
          <w:i/>
          <w:color w:val="666666"/>
          <w:sz w:val="18"/>
        </w:rPr>
        <w:t>Slyne H  ·  Br J Nurs  ·  17.09.2026  ·  PMID 42748025</w:t>
      </w:r>
    </w:p>
    <w:p>
      <w:r>
        <w:t>Übersichtsarbeit der Infection Prevention and Control Abteilung eines britischen Universitätskrankenhauses zu erfolgreichen Implementierungen nachhaltiger Persönlicher Schutzausrüstung (Handschuhe, Schürzen, Isolation Gowns, Masken).</w:t>
      </w:r>
    </w:p>
    <w:p>
      <w:r>
        <w:rPr>
          <w:b/>
        </w:rPr>
        <w:t xml:space="preserve">Ergebnis: </w:t>
      </w:r>
      <w:r>
        <w:t>Studienübersicht zeigt Kosteneinsparungen, CO₂-Reduktionen und verbesserte Mitarbeiter-Zufriedenheit sowie Hautgesundheit ohne nachteilige Auswirkungen auf nosokomiale Infektionen. Handschuh-Übernutzung identifiziert als größter Carbon-Hotspot im Gesundheitswesen.</w:t>
      </w:r>
    </w:p>
    <w:p>
      <w:r>
        <w:rPr>
          <w:b/>
          <w:sz w:val="19"/>
        </w:rPr>
        <w:t xml:space="preserve">Übertragbarkeit: </w:t>
      </w:r>
      <w:r>
        <w:rPr>
          <w:sz w:val="19"/>
        </w:rPr>
        <w:t>Vereinigtes Königreich, vergleichbare PPE-Standards und Dokumentationspflichten</w:t>
      </w:r>
    </w:p>
    <w:p>
      <w:r>
        <w:rPr>
          <w:color w:val="5A7D3A"/>
          <w:sz w:val="18"/>
        </w:rPr>
        <w:t>https://pubmed.ncbi.nlm.nih.gov/42748025/</w:t>
      </w:r>
    </w:p>
    <w:p>
      <w:pPr>
        <w:pStyle w:val="Heading2"/>
      </w:pPr>
      <w:r>
        <w:t>Perioperative Hypersensibilität im Kindesalter: Qualitative Analyse französischer Allergie-Kohorten</w:t>
      </w:r>
    </w:p>
    <w:p>
      <w:r>
        <w:rPr>
          <w:i/>
          <w:color w:val="666666"/>
          <w:sz w:val="18"/>
        </w:rPr>
        <w:t>Michel MP et al.  ·  Pediatr Allergy Immunol  ·  Sept. 2026  ·  PMID 42747994</w:t>
      </w:r>
    </w:p>
    <w:p>
      <w:r>
        <w:t>Analyse von 4.605 perioperativen Hypersensibilitätsreaktionen (461 Fälle bei Kindern &lt;18 Jahren) aus französischem GERAP-Netzwerk über drei Dekaden (1997–2024) mit Allergen-Identifikation und Schweregraduierung.</w:t>
      </w:r>
    </w:p>
    <w:p>
      <w:r>
        <w:rPr>
          <w:b/>
        </w:rPr>
        <w:t xml:space="preserve">Ergebnis: </w:t>
      </w:r>
      <w:r>
        <w:t>Kausales Allergen in 43% der Fälle identifiziert (Neuromuscular-Blocking-Agents 31%, Latex 30%, Antibiotika 16%). Reaktionen mit Allergen-ID waren signifikant schwerer (Grad 3–4: 46% vs. 13%; p &lt; 0,001) mit höherer Tryptase (Median 16,0 vs. 4,0 μg/L; p &lt; 0,001). Latex-Reaktionen verschwanden nach 2017.</w:t>
      </w:r>
    </w:p>
    <w:p>
      <w:r>
        <w:rPr>
          <w:b/>
          <w:sz w:val="19"/>
        </w:rPr>
        <w:t xml:space="preserve">Übertragbarkeit: </w:t>
      </w:r>
      <w:r>
        <w:rPr>
          <w:sz w:val="19"/>
        </w:rPr>
        <w:t>Frankreich, hochgradig vergleichbar; europäischer Standard für Allergie-Registrierung und Perioperativ-Management</w:t>
      </w:r>
    </w:p>
    <w:p>
      <w:r>
        <w:rPr>
          <w:color w:val="5A7D3A"/>
          <w:sz w:val="18"/>
        </w:rPr>
        <w:t>https://pubmed.ncbi.nlm.nih.gov/42747994/</w:t>
      </w:r>
    </w:p>
    <w:p>
      <w:pPr>
        <w:pStyle w:val="Heading2"/>
      </w:pPr>
      <w:r>
        <w:t>Cefazolin mindestens gleichwertig zu Flucloxacillin bei Staphylococcus-aureus-Bakteriämie</w:t>
      </w:r>
    </w:p>
    <w:p>
      <w:r>
        <w:rPr>
          <w:i/>
          <w:color w:val="666666"/>
          <w:sz w:val="18"/>
        </w:rPr>
        <w:t>Jager NGL et al.  ·  Ned Tijdschr Geneeskd  ·  16.09.2026  ·  PMID 42747445</w:t>
      </w:r>
    </w:p>
    <w:p>
      <w:r>
        <w:t>Die internationale adaptive Plattformstudie SNAP verglich Cefazolin mit (Flu-)Cloxacillin bei Erwachsenen mit Methicillin-empfindlicher S.-aureus-Bakteriämie.</w:t>
      </w:r>
    </w:p>
    <w:p>
      <w:r>
        <w:rPr>
          <w:b/>
        </w:rPr>
        <w:t xml:space="preserve">Ergebnis: </w:t>
      </w:r>
      <w:r>
        <w:t>90-Tage-Mortalität 15,0% mit Cefazolin versus 17,0% mit (Flu-)Cloxacillin (aOR 0,81; 95%-KrI 0,59–1,12; Nicht-Unterlegenheitswahrscheinlichkeit 99,2%). Akutes Nierenschädigungsrisiko war bei Cefazolin signifikant niedriger (13,9% vs. 19,6%; aOR 0,67; 95%-KrI 0,50–0,89).</w:t>
      </w:r>
    </w:p>
    <w:p>
      <w:r>
        <w:rPr>
          <w:b/>
          <w:sz w:val="19"/>
        </w:rPr>
        <w:t xml:space="preserve">Übertragbarkeit: </w:t>
      </w:r>
      <w:r>
        <w:rPr>
          <w:sz w:val="19"/>
        </w:rPr>
        <w:t>Niederlande, vergleichbares Sozialversicherungssystem und ärztliches Handeln</w:t>
      </w:r>
    </w:p>
    <w:p>
      <w:r>
        <w:rPr>
          <w:color w:val="5A7D3A"/>
          <w:sz w:val="18"/>
        </w:rPr>
        <w:t>https://pubmed.ncbi.nlm.nih.gov/42747445/</w:t>
      </w:r>
    </w:p>
    <w:p>
      <w:pPr>
        <w:pStyle w:val="Heading2"/>
      </w:pPr>
      <w:r>
        <w:t>Opioid-Allergien-Labeling bewirkt unnötige Ausgrenzung sicherer Analgetika</w:t>
      </w:r>
    </w:p>
    <w:p>
      <w:r>
        <w:rPr>
          <w:i/>
          <w:color w:val="666666"/>
          <w:sz w:val="18"/>
        </w:rPr>
        <w:t>Eiset AH et al.  ·  Basic Clin Pharmacol Toxicol  ·  Okt. 2026  ·  PMID 42746690</w:t>
      </w:r>
    </w:p>
    <w:p>
      <w:r>
        <w:t>Audit von 14.661 Opioid-Allergieregistrierungen in elektronischen Patientenakten von sechs dänischen Krankenhäusern (2020–2023) validierte Text-Mining-Algorithmen zur Unterscheidung wahrer Überempfindlichkeit von normalen Nebenwirkungen.</w:t>
      </w:r>
    </w:p>
    <w:p>
      <w:r>
        <w:rPr>
          <w:b/>
        </w:rPr>
        <w:t xml:space="preserve">Ergebnis: </w:t>
      </w:r>
      <w:r>
        <w:t>Nur 19% (n = 2.710) der Registrierungen entsprachen einer wahrscheinlichen Allergie, überwiegend Hautausschlag oder Pruritus (71%). 33% der Patienten mit registrierter Allergie erhielten später sicher das gleiche Opioid; das Label ist ein sehr schwacher Prädiktor für echte Hypersensibilität.</w:t>
      </w:r>
    </w:p>
    <w:p>
      <w:r>
        <w:rPr>
          <w:b/>
          <w:sz w:val="19"/>
        </w:rPr>
        <w:t xml:space="preserve">Übertragbarkeit: </w:t>
      </w:r>
      <w:r>
        <w:rPr>
          <w:sz w:val="19"/>
        </w:rPr>
        <w:t>Dänemark mit Fehlermeldesystem ohne Verschuldensnachweis – Übertragung auf Arzthaftungs-Systeme mit Beweislast limitiert</w:t>
      </w:r>
    </w:p>
    <w:p>
      <w:r>
        <w:rPr>
          <w:color w:val="5A7D3A"/>
          <w:sz w:val="18"/>
        </w:rPr>
        <w:t>https://pubmed.ncbi.nlm.nih.gov/42746690/</w:t>
      </w:r>
    </w:p>
    <w:p>
      <w:pPr>
        <w:pStyle w:val="Heading2"/>
      </w:pPr>
      <w:r>
        <w:t>Falsch dokumentierte Penicillin-Allergie erhöht Infektionsrisiko bei Leberzirrhose-Patienten</w:t>
      </w:r>
    </w:p>
    <w:p>
      <w:r>
        <w:rPr>
          <w:i/>
          <w:color w:val="666666"/>
          <w:sz w:val="18"/>
        </w:rPr>
        <w:t>Danpanichkul P et al.  ·  Alcohol Clin Exp Res (Hoboken)  ·  Sept. 2026  ·  PMID 42745200</w:t>
      </w:r>
    </w:p>
    <w:p>
      <w:r>
        <w:t>Kohortenstudie mit Propensity-Score-Matching (n = 2.388) untersuchte die Auswirkung dokumentierter Penicillin-Allergie-Labels auf Infektionsraten bei Patienten mit alkoholischer Leberzirrhose in den USA.</w:t>
      </w:r>
    </w:p>
    <w:p>
      <w:r>
        <w:rPr>
          <w:b/>
        </w:rPr>
        <w:t xml:space="preserve">Ergebnis: </w:t>
      </w:r>
      <w:r>
        <w:t>Penicillin-Allergie-Label assoziiert mit erhöhtem Sepsis-Risiko (11,4% vs. 6,4%; HR 1,53; 95%-KI 1,16–2,02), Pneumonie (8,7% vs. 5,0%; HR 1,49), Harnwegsinfekt (11,7% vs. 6,6%; HR 1,55) und Alkoholhepatitis (19,0% vs. 13,5%; HR 1,27).</w:t>
      </w:r>
    </w:p>
    <w:p>
      <w:r>
        <w:rPr>
          <w:b/>
          <w:sz w:val="19"/>
        </w:rPr>
        <w:t xml:space="preserve">Übertragbarkeit: </w:t>
      </w:r>
      <w:r>
        <w:rPr>
          <w:sz w:val="19"/>
        </w:rPr>
        <w:t>USA-Daten, begrenzte Übertragbarkeit auf deutsche Dokumentations- und Haftungspraxis</w:t>
      </w:r>
    </w:p>
    <w:p>
      <w:r>
        <w:rPr>
          <w:color w:val="5A7D3A"/>
          <w:sz w:val="18"/>
        </w:rPr>
        <w:t>https://pubmed.ncbi.nlm.nih.gov/42745200/</w:t>
      </w:r>
    </w:p>
    <w:p>
      <w:pPr>
        <w:pStyle w:val="Heading2"/>
      </w:pPr>
      <w:r>
        <w:t>Hohe Sepsis-Inzidenz bei alkoholbedingter Zirrhose: 30%-Mortalität in erster Hospitalisierung</w:t>
      </w:r>
    </w:p>
    <w:p>
      <w:r>
        <w:rPr>
          <w:i/>
          <w:color w:val="666666"/>
          <w:sz w:val="18"/>
        </w:rPr>
        <w:t>Stenderup CJ et al.  ·  Liver Int  ·  Okt. 2026  ·  PMID 42741819</w:t>
      </w:r>
    </w:p>
    <w:p>
      <w:r>
        <w:t>Dänische populationsbasierte Studie aller Patienten mit alkoholbedingter Zirrhose (n = 2.511, 2013–2022) quantifizierte Sepsis- und Bakteriämie-Inzidenz und prognostische Faktoren.</w:t>
      </w:r>
    </w:p>
    <w:p>
      <w:r>
        <w:rPr>
          <w:b/>
        </w:rPr>
        <w:t xml:space="preserve">Ergebnis: </w:t>
      </w:r>
      <w:r>
        <w:t>Kumulative 3-Jahres-Inzidenz ernst gemeinter Systeminfektionen 5,9% (95%-KI 5,0–6,9). MELD-NA-Score war unabhängiger Prädiktor (sHR 1,05 pro Punkt; 95%-KI 1,02–1,08). 30-Tage-Mortalität nach Hospitalisierung mit Infektion: 30% (95%-KI 23–37). Enterobacterales 38%, Staphylokokken 25%, Streptokokken 22% der Isolate.</w:t>
      </w:r>
    </w:p>
    <w:p>
      <w:r>
        <w:rPr>
          <w:b/>
          <w:sz w:val="19"/>
        </w:rPr>
        <w:t xml:space="preserve">Übertragbarkeit: </w:t>
      </w:r>
      <w:r>
        <w:rPr>
          <w:sz w:val="19"/>
        </w:rPr>
        <w:t>Dänemark mit skandinavischem Melde- und Entschädigungssystem – Fallzahlen nicht mit deutschem vergleichbar</w:t>
      </w:r>
    </w:p>
    <w:p>
      <w:r>
        <w:rPr>
          <w:color w:val="5A7D3A"/>
          <w:sz w:val="18"/>
        </w:rPr>
        <w:t>https://pubmed.ncbi.nlm.nih.gov/42741819/</w:t>
      </w:r>
    </w:p>
    <w:p>
      <w:pPr>
        <w:pStyle w:val="Heading1"/>
      </w:pPr>
      <w:r>
        <w:t>Aufgenommen am 16.09.2026</w:t>
      </w:r>
    </w:p>
    <w:p>
      <w:pPr>
        <w:pStyle w:val="Heading2"/>
      </w:pPr>
      <w:r>
        <w:t>Infektionsprävention im Kreißsaal: Motivation schlägt Ressourcenmangel</w:t>
      </w:r>
    </w:p>
    <w:p>
      <w:r>
        <w:rPr>
          <w:i/>
          <w:color w:val="666666"/>
          <w:sz w:val="18"/>
        </w:rPr>
        <w:t>Riches JM et al.  ·  BMJ Glob Health  ·  15.09.2026  ·  PMID 42744564</w:t>
      </w:r>
    </w:p>
    <w:p>
      <w:r>
        <w:t>Mixed-Methods-Studie in drei Kreißsälen in Malawi identifizierte Barrieren und Förderfaktoren für Infektionsprävention vor Kaiserschnitt, um eine Verhaltensintervention zu entwickeln.</w:t>
      </w:r>
    </w:p>
    <w:p>
      <w:r>
        <w:rPr>
          <w:b/>
        </w:rPr>
        <w:t xml:space="preserve">Ergebnis: </w:t>
      </w:r>
      <w:r>
        <w:t>Beobachtung zeigte erhebliche Lücken in Händehygiene, aseptischer Technik und sterilem Arbeiten. Ressourcenmangel wirkte direkt und indirekt als Barriere durch Auswirkung auf Motivation. "Passion" für Patienten, regelmäßige Supervision und "Reminders" waren Förderfaktoren. Indirekte Motivation spielte eine ebenso wichtige Rolle wie verfügbare Ressourcen.</w:t>
      </w:r>
    </w:p>
    <w:p>
      <w:r>
        <w:rPr>
          <w:b/>
          <w:sz w:val="19"/>
        </w:rPr>
        <w:t xml:space="preserve">Übertragbarkeit: </w:t>
      </w:r>
      <w:r>
        <w:rPr>
          <w:sz w:val="19"/>
        </w:rPr>
        <w:t>Malawi, Erkenntnisse für Implementierungsforschung zur Verhaltensänderung</w:t>
      </w:r>
    </w:p>
    <w:p>
      <w:r>
        <w:rPr>
          <w:color w:val="5A7D3A"/>
          <w:sz w:val="18"/>
        </w:rPr>
        <w:t>https://pubmed.ncbi.nlm.nih.gov/42744564/</w:t>
      </w:r>
    </w:p>
    <w:p>
      <w:pPr>
        <w:pStyle w:val="Heading2"/>
      </w:pPr>
      <w:r>
        <w:t>"Zweites Opfer" in Gesundheitsberufen: physische, mentale und berufliche Schäden</w:t>
      </w:r>
    </w:p>
    <w:p>
      <w:r>
        <w:rPr>
          <w:i/>
          <w:color w:val="666666"/>
          <w:sz w:val="18"/>
        </w:rPr>
        <w:t>Vianna Gonçalves da Costa ECDC et al.  ·  PLoS One  ·  15.09.2026  ·  PMID 42743379</w:t>
      </w:r>
    </w:p>
    <w:p>
      <w:r>
        <w:t>Scoping Review untersuchte psychische, physische, berufliche und soziale Folgen des "Zweiten-Opfer"-Phänomens (psychische Traumatisierung von Fachpersonen nach Behandlungsfehlern) in 37 Publikationen aus 2009-2024.</w:t>
      </w:r>
    </w:p>
    <w:p>
      <w:r>
        <w:rPr>
          <w:b/>
        </w:rPr>
        <w:t xml:space="preserve">Ergebnis: </w:t>
      </w:r>
      <w:r>
        <w:t>Überwiegend qualitative Studien (n=14), hospitales Umfeld (n=25), Pflege am meisten erforscht (n=27). 39 Auswirkungen wurden kartografiert: psychische Dimension identifizierte Suizidgedanken als Risiko. Berufliche Dimension mit höchster Anzahl von Folgen (Kündigungen, Karriereverlust). Studie belegt starke Beziehung zwischen Fehlertraumatisierung und Arbeiter-Sicherheit.</w:t>
      </w:r>
    </w:p>
    <w:p>
      <w:r>
        <w:rPr>
          <w:b/>
          <w:sz w:val="19"/>
        </w:rPr>
        <w:t xml:space="preserve">Übertragbarkeit: </w:t>
      </w:r>
      <w:r>
        <w:rPr>
          <w:sz w:val="19"/>
        </w:rPr>
        <w:t>Globale Evidenz aus 22 Ländern, Pflegefokus, Implementierung notwendig</w:t>
      </w:r>
    </w:p>
    <w:p>
      <w:r>
        <w:rPr>
          <w:color w:val="5A7D3A"/>
          <w:sz w:val="18"/>
        </w:rPr>
        <w:t>https://pubmed.ncbi.nlm.nih.gov/42743379/</w:t>
      </w:r>
    </w:p>
    <w:p>
      <w:pPr>
        <w:pStyle w:val="Heading2"/>
      </w:pPr>
      <w:r>
        <w:t>ESBL-Kolonisierungsdruck erhöht Infektionsrisiko auf Neugeborenen-Stationen</w:t>
      </w:r>
    </w:p>
    <w:p>
      <w:r>
        <w:rPr>
          <w:i/>
          <w:color w:val="666666"/>
          <w:sz w:val="18"/>
        </w:rPr>
        <w:t>Cook A et al.  ·  JAMA Netw Open  ·  01.09.2026  ·  PMID 42742944</w:t>
      </w:r>
    </w:p>
    <w:p>
      <w:r>
        <w:t>Multizenterstudie an 24 europäischen Neonatalstationen untersuchte, ob die Kolonisierungsdichte mit ESBL-tragenden Bakterien das Risiko für Neugeborene, selbst eine ESBL-Infektion zu entwickeln, beeinflusst.</w:t>
      </w:r>
    </w:p>
    <w:p>
      <w:r>
        <w:rPr>
          <w:b/>
        </w:rPr>
        <w:t xml:space="preserve">Ergebnis: </w:t>
      </w:r>
      <w:r>
        <w:t>Eine Zunahme der Kolonisierungsdruck um 10 % war mit erhöhter Übernahmequote assoziiert (OR 1,89 bei 4-Tage-Abstand, 95%-KI 1,22-2,94; OR 1,76 bei 7 Tagen, 95%-KI 1,26-2,63; OR 1,73 bei 14 Tagen, 95%-KI 1,15-2,52). Maßnahmen auf Stationsebene könnten direkte und indirekte Vorteile bringen.</w:t>
      </w:r>
    </w:p>
    <w:p>
      <w:r>
        <w:rPr>
          <w:b/>
          <w:sz w:val="19"/>
        </w:rPr>
        <w:t xml:space="preserve">Übertragbarkeit: </w:t>
      </w:r>
      <w:r>
        <w:rPr>
          <w:sz w:val="19"/>
        </w:rPr>
        <w:t>Acht europäische Länder, deutschsprachige Einrichtungen vergleichbar</w:t>
      </w:r>
    </w:p>
    <w:p>
      <w:r>
        <w:rPr>
          <w:color w:val="5A7D3A"/>
          <w:sz w:val="18"/>
        </w:rPr>
        <w:t>https://pubmed.ncbi.nlm.nih.gov/42742944/</w:t>
      </w:r>
    </w:p>
    <w:p>
      <w:pPr>
        <w:pStyle w:val="Heading2"/>
      </w:pPr>
      <w:r>
        <w:t>Psychische und kontextuelle Faktoren treiben Infektionsprävention mehr als Wissen</w:t>
      </w:r>
    </w:p>
    <w:p>
      <w:r>
        <w:rPr>
          <w:i/>
          <w:color w:val="666666"/>
          <w:sz w:val="18"/>
        </w:rPr>
        <w:t>Ventura F et al.  ·  Glob Health Action  ·  15.09.2026  ·  PMID 42742348</w:t>
      </w:r>
    </w:p>
    <w:p>
      <w:r>
        <w:t>Evaluierung des kulturell adaptierten InovSafeCare-Modells zur Infektionsprävention und -kontrolle bei 486 Pflegestudierenden in vier Instituten in Tansania und Madagaskar mit Fragebogen und Pfadanalyse.</w:t>
      </w:r>
    </w:p>
    <w:p>
      <w:r>
        <w:rPr>
          <w:b/>
        </w:rPr>
        <w:t xml:space="preserve">Ergebnis: </w:t>
      </w:r>
      <w:r>
        <w:t>10-Faktor-Lösung erklärt 52,1 % der Varianz (Cronbachs α: 0,64-0,88). Strukturmodell zeigt akzeptable Passung (CFI=0,88; RMSEA=0,097). Kein direkter Zusammenhang zwischen Bildung und Adhärenz, stattdessen vermittelter Effekt über Motivation, Erwartungen, Skepsis, Umweltkomplexität und Überlastung. Modell erklärt 18,9 % der Varianz in Adhärenz. Psychische und kontextuelle Mediatoren sind kritisch.</w:t>
      </w:r>
    </w:p>
    <w:p>
      <w:r>
        <w:rPr>
          <w:b/>
          <w:sz w:val="19"/>
        </w:rPr>
        <w:t xml:space="preserve">Übertragbarkeit: </w:t>
      </w:r>
      <w:r>
        <w:rPr>
          <w:sz w:val="19"/>
        </w:rPr>
        <w:t>Sub-Sahara-Afrika, valides Messinstrument für Implementierungsforschung</w:t>
      </w:r>
    </w:p>
    <w:p>
      <w:r>
        <w:rPr>
          <w:color w:val="5A7D3A"/>
          <w:sz w:val="18"/>
        </w:rPr>
        <w:t>https://pubmed.ncbi.nlm.nih.gov/42742348/</w:t>
      </w:r>
    </w:p>
    <w:p>
      <w:pPr>
        <w:pStyle w:val="Heading2"/>
      </w:pPr>
      <w:r>
        <w:t>Landiolol senkt Herzfrequenz bei Sepsis mit neuem Vorhofflimmern sicher</w:t>
      </w:r>
    </w:p>
    <w:p>
      <w:r>
        <w:rPr>
          <w:i/>
          <w:color w:val="666666"/>
          <w:sz w:val="18"/>
        </w:rPr>
        <w:t>Guarracino F et al.  ·  Crit Care  ·  07.08.2026  ·  PMID 42736570</w:t>
      </w:r>
    </w:p>
    <w:p>
      <w:r>
        <w:t>Europäischer Delphi-Konsens von neun Intensivmedizinern und Kardiologen untersuchte, wie man Vorhofflimmern bei septischem Schock mit Herzfrequenzkontrolle managen sollte, mit Fokus auf den ultraselektiven β₁-Blocker Landiolol.</w:t>
      </w:r>
    </w:p>
    <w:p>
      <w:r>
        <w:rPr>
          <w:b/>
        </w:rPr>
        <w:t xml:space="preserve">Ergebnis: </w:t>
      </w:r>
      <w:r>
        <w:t>70,9 % der 55 Aussagen erreichten Konsens (≥80 % Übereinstimmung). Landiolol wurde für HR-Kontrolle bei ausgewählten Sepsis-Patienten empfohlen: ohne Bolus starten, niedrig titrieren, Ziel &lt;110 bpm mit engem hämodynamischen Monitoring. Kein Konsens zu optimaler Dauer oder Einsatz bei schwerer Ventrikeldysfunktion.</w:t>
      </w:r>
    </w:p>
    <w:p>
      <w:r>
        <w:rPr>
          <w:b/>
          <w:sz w:val="19"/>
        </w:rPr>
        <w:t xml:space="preserve">Übertragbarkeit: </w:t>
      </w:r>
      <w:r>
        <w:rPr>
          <w:sz w:val="19"/>
        </w:rPr>
        <w:t>Deutschland, Österreich, Frankreich, europäisches Konsens-Verfahren</w:t>
      </w:r>
    </w:p>
    <w:p>
      <w:r>
        <w:rPr>
          <w:color w:val="5A7D3A"/>
          <w:sz w:val="18"/>
        </w:rPr>
        <w:t>https://pubmed.ncbi.nlm.nih.gov/42736570/</w:t>
      </w:r>
    </w:p>
    <w:p>
      <w:pPr>
        <w:pStyle w:val="Heading2"/>
      </w:pPr>
      <w:r>
        <w:t>Serum-Meprin α identifiziert SIRS-Patienten zuverlässiger als klassische Parameter</w:t>
      </w:r>
    </w:p>
    <w:p>
      <w:r>
        <w:rPr>
          <w:i/>
          <w:color w:val="666666"/>
          <w:sz w:val="18"/>
        </w:rPr>
        <w:t>Beckinger S et al.  ·  Mol Med  ·  18.07.2026  ·  PMID 42471588</w:t>
      </w:r>
    </w:p>
    <w:p>
      <w:r>
        <w:t>Studie mit Transgen-Mausmodell und Intensivpatienten untersuchte, ob das Metalloprotease Meprin α als Biomarker für systemische Entzündungsreaktion (SIRS) taugt.</w:t>
      </w:r>
    </w:p>
    <w:p>
      <w:r>
        <w:rPr>
          <w:b/>
        </w:rPr>
        <w:t xml:space="preserve">Ergebnis: </w:t>
      </w:r>
      <w:r>
        <w:t>K5Mα-Mäuse entwickelten tödliche SIRS mit Hypothermie, Gewichtsverlust, Anämie und Zytokinsturm. Serum-Meprin-α-Spiegel korrelierten mit Krankheitsverlauf. Hohe Meprin-α-Spiegel waren bei allen SIRS-Patienten (n=19) nachweisbar, aber bei keinem Non-SIRS-Patienten (n=29). Meprin α korrelierte mit C-reaktivem Protein, Procalcitonin und Leukozyten, erlaubte aber klare Unterscheidung von SIRS.</w:t>
      </w:r>
    </w:p>
    <w:p>
      <w:r>
        <w:rPr>
          <w:b/>
          <w:sz w:val="19"/>
        </w:rPr>
        <w:t xml:space="preserve">Übertragbarkeit: </w:t>
      </w:r>
      <w:r>
        <w:rPr>
          <w:sz w:val="19"/>
        </w:rPr>
        <w:t>Deutschland, kleine Kohorte, größere Multizenterstudie notwendig</w:t>
      </w:r>
    </w:p>
    <w:p>
      <w:r>
        <w:rPr>
          <w:color w:val="5A7D3A"/>
          <w:sz w:val="18"/>
        </w:rPr>
        <w:t>https://pubmed.ncbi.nlm.nih.gov/42471588/</w:t>
      </w:r>
    </w:p>
    <w:p>
      <w:pPr>
        <w:pStyle w:val="Heading1"/>
      </w:pPr>
      <w:r>
        <w:t>Aufgenommen am 15.09.2026</w:t>
      </w:r>
    </w:p>
    <w:p>
      <w:pPr>
        <w:pStyle w:val="Heading2"/>
      </w:pPr>
      <w:r>
        <w:t>Notfalldesinfektion von Einmalmedizinprodukten: Peressigsäure und Ethanol reduzierten Keime um über 90 %</w:t>
      </w:r>
    </w:p>
    <w:p>
      <w:r>
        <w:rPr>
          <w:i/>
          <w:color w:val="666666"/>
          <w:sz w:val="18"/>
        </w:rPr>
        <w:t>Chevalley K et al.  ·  Prehosp Disaster Med  ·  14.09.2026  ·  PMID 42734164</w:t>
      </w:r>
    </w:p>
    <w:p>
      <w:r>
        <w:t>Bei Versorgungsengpässen wurden klinisch genutzte Einmalmedizinprodukte (Tuben, Masken, Katheter) mit Peressigsäure, 70%-Ethanol oder Spülmittel gereinigt und dann auf Keimbelastung sowie funktionelle Integrität getestet.</w:t>
      </w:r>
    </w:p>
    <w:p>
      <w:r>
        <w:rPr>
          <w:b/>
        </w:rPr>
        <w:t xml:space="preserve">Ergebnis: </w:t>
      </w:r>
      <w:r>
        <w:t>Alle drei Mittel reduzierten die bakterielle Belastung statistisch signifikant (p&lt;0,05), ohne strukturelle Schäden zu verursachen. H. influenzae und S. aureus waren vor Reinigung in 47 % der Atemwegsgeräte nachweisbar, danach in keiner Probe. Methode ersetzt kein validiertes Sterilisationsverfahren, könnte aber Notfall-Letztresort sein.</w:t>
      </w:r>
    </w:p>
    <w:p>
      <w:r>
        <w:rPr>
          <w:b/>
          <w:sz w:val="19"/>
        </w:rPr>
        <w:t xml:space="preserve">Übertragbarkeit: </w:t>
      </w:r>
      <w:r>
        <w:rPr>
          <w:sz w:val="19"/>
        </w:rPr>
        <w:t>Schweden, mit Kriegsszenario relevante Szene; Methoden sind auch in Deutschland anwendbar, für Lagerhaltung im Krisenfall zu prüfen.</w:t>
      </w:r>
    </w:p>
    <w:p>
      <w:r>
        <w:rPr>
          <w:color w:val="5A7D3A"/>
          <w:sz w:val="18"/>
        </w:rPr>
        <w:t>https://pubmed.ncbi.nlm.nih.gov/42734164/</w:t>
      </w:r>
    </w:p>
    <w:p>
      <w:pPr>
        <w:pStyle w:val="Heading2"/>
      </w:pPr>
      <w:r>
        <w:t>Sicherheitspläne für psychiatrische Patienten: Zahl stieg, aber Qualität blieb niedrig (7,67 von 22 Punkten)</w:t>
      </w:r>
    </w:p>
    <w:p>
      <w:r>
        <w:rPr>
          <w:i/>
          <w:color w:val="666666"/>
          <w:sz w:val="18"/>
        </w:rPr>
        <w:t>Farmer E et al.  ·  Int J Ment Health Nurs  ·  Okt. 2026  ·  PMID 42725545</w:t>
      </w:r>
    </w:p>
    <w:p>
      <w:r>
        <w:t>Ein australisches Spital führte Schulung für strukturierte Sicherheitspläne bei entlassungsreifen psychiatrischen Patienten ein und untersuchte Implementierungsbefunde und Qualität.</w:t>
      </w:r>
    </w:p>
    <w:p>
      <w:r>
        <w:rPr>
          <w:b/>
        </w:rPr>
        <w:t xml:space="preserve">Ergebnis: </w:t>
      </w:r>
      <w:r>
        <w:t>Zahl der erstellten Pläne nahm zu. Durchschnittliche Qualität aber niedrig (7,67 Punkte auf 22-Punkte-Skala). Qualitative Befunde ergaben Barrieren: Zeitdruck, unzureichende Schulung, Procedural Drift. Fachkräfte und Patienten erwähnten Wert, aber fehlende Komponenten (Frühwarnzeichen, Bewältigungsmechanismen, externe Ressourcen, Mittelzugang).</w:t>
      </w:r>
    </w:p>
    <w:p>
      <w:r>
        <w:rPr>
          <w:b/>
          <w:sz w:val="19"/>
        </w:rPr>
        <w:t xml:space="preserve">Übertragbarkeit: </w:t>
      </w:r>
      <w:r>
        <w:rPr>
          <w:sz w:val="19"/>
        </w:rPr>
        <w:t>Australien, Struktur übertragbar; zeigt Implementierungs-Compliance-Problem: Prozess läuft, Qualität nicht.</w:t>
      </w:r>
    </w:p>
    <w:p>
      <w:r>
        <w:rPr>
          <w:color w:val="5A7D3A"/>
          <w:sz w:val="18"/>
        </w:rPr>
        <w:t>https://pubmed.ncbi.nlm.nih.gov/42725545/</w:t>
      </w:r>
    </w:p>
    <w:p>
      <w:pPr>
        <w:pStyle w:val="Heading2"/>
      </w:pPr>
      <w:r>
        <w:t>Hand- und Handybelastung von Klinikpersonal: Keimabstrichkulturen zeigen positive Assoziation, aber nur teilweise Übereinstimmung</w:t>
      </w:r>
    </w:p>
    <w:p>
      <w:r>
        <w:rPr>
          <w:i/>
          <w:color w:val="666666"/>
          <w:sz w:val="18"/>
        </w:rPr>
        <w:t>Jiang W et al.  ·  Front Cell Infect Microbiol  ·  26.08.2026  ·  PMID 42718797</w:t>
      </w:r>
    </w:p>
    <w:p>
      <w:r>
        <w:t>In einer chinesischen Klinik wurden an 126 Ärzte, Pfleger und Helfer gepaarte Handabstriche und Handyoberflächen-Kulturen genommen, um Kontamination und Übertragungspotential zu charakterisieren.</w:t>
      </w:r>
    </w:p>
    <w:p>
      <w:r>
        <w:rPr>
          <w:b/>
        </w:rPr>
        <w:t xml:space="preserve">Ergebnis: </w:t>
      </w:r>
      <w:r>
        <w:t>Mittlere Handbelastung 11,67 CFU/cm² (IQR 1,67–54,17), Handys 950 CFU (IQR 300–2575). Positive Spearman-Korrelation (rho=0,514, p&lt;0,001). Mediale Jaccard-Ähnlichkeit 0,50, durchschnittlich 1 gemeinsamer Keim pro Paar. Koagulase-negative Staphylokokken einzige signifikante diskordante Detektion.</w:t>
      </w:r>
    </w:p>
    <w:p>
      <w:r>
        <w:rPr>
          <w:b/>
          <w:sz w:val="19"/>
        </w:rPr>
        <w:t xml:space="preserve">Übertragbarkeit: </w:t>
      </w:r>
      <w:r>
        <w:rPr>
          <w:sz w:val="19"/>
        </w:rPr>
        <w:t>China, aber Handkeim-Epidemiologie universal; Hinweis: Hände und Handys sind nicht synchron kontaminiert – erfordert separate Hygienemaßnahmen.</w:t>
      </w:r>
    </w:p>
    <w:p>
      <w:r>
        <w:rPr>
          <w:color w:val="5A7D3A"/>
          <w:sz w:val="18"/>
        </w:rPr>
        <w:t>https://pubmed.ncbi.nlm.nih.gov/42718797/</w:t>
      </w:r>
    </w:p>
    <w:p>
      <w:pPr>
        <w:pStyle w:val="Heading2"/>
      </w:pPr>
      <w:r>
        <w:t>NHS-Fehlermeldesystem: Gesetzliche Haftungsregeln beeinflussen, was gemeldet wird und was daraus folgt</w:t>
      </w:r>
    </w:p>
    <w:p>
      <w:r>
        <w:rPr>
          <w:i/>
          <w:color w:val="666666"/>
          <w:sz w:val="18"/>
        </w:rPr>
        <w:t>Tingle J  ·  Br J Nurs  ·  06.08.2026  ·  PMID 42555592</w:t>
      </w:r>
    </w:p>
    <w:p>
      <w:r>
        <w:t>Britischer Rechtswissenschaftler analysiert aktuelle NHS-Resolution-Berichte zur Meldekultur und Entschädigungssystematik im englischen Gesundheitswesen.</w:t>
      </w:r>
    </w:p>
    <w:p>
      <w:r>
        <w:rPr>
          <w:b/>
        </w:rPr>
        <w:t xml:space="preserve">Ergebnis: </w:t>
      </w:r>
      <w:r>
        <w:t>Britisches System nutzt kein Schuldprinzip wie Deutschland (§ 630h BGB Umkehr), sondern klärt durch NHS Resolution (Haftung bei diagnostizierbarem Schaden). Meldezahlen daher nicht mit Deutschland vergleichbar. Unterschiede in Entschädigung (no-fault-Prinzipien England vs. Schuldnachweis Deutschland) bestimmen, welche Fehler gemeldet und entschädigt werden.</w:t>
      </w:r>
    </w:p>
    <w:p>
      <w:r>
        <w:rPr>
          <w:b/>
          <w:sz w:val="19"/>
        </w:rPr>
        <w:t xml:space="preserve">Übertragbarkeit: </w:t>
      </w:r>
      <w:r>
        <w:rPr>
          <w:sz w:val="19"/>
        </w:rPr>
        <w:t>Großbritannien/England – Haftungssystem (Entschädigung ohne Schuldnachweis) fundamental anders als Deutschland; Transfer-Vorsicht wegen Meldevergleichbarkeit.</w:t>
      </w:r>
    </w:p>
    <w:p>
      <w:r>
        <w:rPr>
          <w:color w:val="5A7D3A"/>
          <w:sz w:val="18"/>
        </w:rPr>
        <w:t>https://pubmed.ncbi.nlm.nih.gov/42555592/</w:t>
      </w:r>
    </w:p>
    <w:p>
      <w:pPr>
        <w:pStyle w:val="Heading2"/>
      </w:pPr>
      <w:r>
        <w:t>After Action Review verbesser­te Fehlerkultur in irischem Spital, nicht aber Sekundärtraumata von Mitarbeitern</w:t>
      </w:r>
    </w:p>
    <w:p>
      <w:r>
        <w:rPr>
          <w:i/>
          <w:color w:val="666666"/>
          <w:sz w:val="18"/>
        </w:rPr>
        <w:t>McCarthy SE et al.  ·  BMC Health Serv Res  ·  15.07.2026  ·  PMID 42458452</w:t>
      </w:r>
    </w:p>
    <w:p>
      <w:r>
        <w:t>Ein irisches Universitätsspital führte Simulation-basiertes Training in After Action Review (AAR) durch und untersuchte, ob dies die Patientensicherheitskultur (HSOPS 2.0) und das Wohlbefinden von Mitarbeitern (SVEST) nach 12 Monaten verbessert.</w:t>
      </w:r>
    </w:p>
    <w:p>
      <w:r>
        <w:rPr>
          <w:b/>
        </w:rPr>
        <w:t xml:space="preserve">Ergebnis: </w:t>
      </w:r>
      <w:r>
        <w:t>37 % des Personals kannte AAR, 10 % nahmen teil. 39 AAR-Sitzungen wurden durchgeführt (Kosten durchschnittlich 48 Euro). Gesamtsicherheitskultur stieg nicht an (33 % vs. 16 % Responserate, Fallzahl n=586). Aber: Reaktion auf Fehler verbesserte sich (mit AAR-Teilnahme assoziiert). Psychisches und physisches Wohlbefinden der Mitarbeiter verschlechterte sich, ebenso berufliche Selbstwirksamkeit.</w:t>
      </w:r>
    </w:p>
    <w:p>
      <w:r>
        <w:rPr>
          <w:b/>
          <w:sz w:val="19"/>
        </w:rPr>
        <w:t xml:space="preserve">Übertragbarkeit: </w:t>
      </w:r>
      <w:r>
        <w:rPr>
          <w:sz w:val="19"/>
        </w:rPr>
        <w:t>Irland, vergleichbare Meldekultur; AAR-Struktur ist deutsch übertragbar, Resultate aber ernüchternd.</w:t>
      </w:r>
    </w:p>
    <w:p>
      <w:r>
        <w:rPr>
          <w:color w:val="5A7D3A"/>
          <w:sz w:val="18"/>
        </w:rPr>
        <w:t>https://pubmed.ncbi.nlm.nih.gov/42458452/</w:t>
      </w:r>
    </w:p>
    <w:p>
      <w:pPr>
        <w:pStyle w:val="Heading2"/>
      </w:pPr>
      <w:r>
        <w:t>Öffentlichkeit überschätzte Antidepressiva-Wirkung um 11 Punkte (MADRS) und unterschätzte Nebenwirkungshäufigkeit</w:t>
      </w:r>
    </w:p>
    <w:p>
      <w:r>
        <w:rPr>
          <w:i/>
          <w:color w:val="666666"/>
          <w:sz w:val="18"/>
        </w:rPr>
        <w:t>Apel K et al.  ·  Sci Rep  ·  15.07.2026  ·  PMID 42457810</w:t>
      </w:r>
    </w:p>
    <w:p>
      <w:r>
        <w:t>Deutsche Querschnittsstudie (208 Personen mit und ohne Depressionserfahrung) mithilfe von Fallszenarien und normierten Bewertungs­skalen: Wie wirksam müssen Antidepressiva sein, um Nebenwirkungen zu tolerieren.</w:t>
      </w:r>
    </w:p>
    <w:p>
      <w:r>
        <w:rPr>
          <w:b/>
        </w:rPr>
        <w:t xml:space="preserve">Ergebnis: </w:t>
      </w:r>
      <w:r>
        <w:t>Antidepressiva-Wirkung wurde signifikant überschätzt (t(204)=8,96, p&lt;0,001, d=0,63, 11 MADRS-Punkte über echte Rate). Bei 13 von 15 abgefragten Nebenwirkungen wurden Häufigkeiten unterschätzt. Beispiel: Um Anfallsrisiko zu akzeptieren, forderten Befragte Symptomverbesserung um 23,51±8,82 MADRS-Punkte. Diskrepanz zwischen Erwartung und evidenzbasierter Information erheblich.</w:t>
      </w:r>
    </w:p>
    <w:p>
      <w:r>
        <w:rPr>
          <w:b/>
          <w:sz w:val="19"/>
        </w:rPr>
        <w:t xml:space="preserve">Übertragbarkeit: </w:t>
      </w:r>
      <w:r>
        <w:rPr>
          <w:sz w:val="19"/>
        </w:rPr>
        <w:t>Deutschland (Erlangen), direkt anwendbar; zeigt Beratungslücke: Patient-Arzt-Kommunikation muss Risiken explicit adressieren.</w:t>
      </w:r>
    </w:p>
    <w:p>
      <w:r>
        <w:rPr>
          <w:color w:val="5A7D3A"/>
          <w:sz w:val="18"/>
        </w:rPr>
        <w:t>https://pubmed.ncbi.nlm.nih.gov/42457810/</w:t>
      </w:r>
    </w:p>
    <w:p>
      <w:pPr>
        <w:pStyle w:val="Heading1"/>
      </w:pPr>
      <w:r>
        <w:t>Aufgenommen am 14.09.2026</w:t>
      </w:r>
    </w:p>
    <w:p>
      <w:pPr>
        <w:pStyle w:val="Heading2"/>
      </w:pPr>
      <w:r>
        <w:t>Digitale Risikovorhersage-Tools für Medikationsschaden: Klinikerperspektiven zu Adoptionsbarrieren</w:t>
      </w:r>
    </w:p>
    <w:p>
      <w:r>
        <w:rPr>
          <w:i/>
          <w:color w:val="666666"/>
          <w:sz w:val="18"/>
        </w:rPr>
        <w:t>Lam JYJ et al.  ·  J Eval Clin Pract  ·  Sept. 2026  ·  PMID 42732558</w:t>
      </w:r>
    </w:p>
    <w:p>
      <w:r>
        <w:t>Qualitative Studie mit 22 semi-strukturierten Interviews (6 Ärzte, 11 Apotheker, 5 Informatiker) an drei australischen Krankenhäusern: Barrieren und Enabler für die Implementierung digitaler Risikovorhersage-Tools (RPTs) zur Medikationssicherheit.</w:t>
      </w:r>
    </w:p>
    <w:p>
      <w:r>
        <w:rPr>
          <w:b/>
        </w:rPr>
        <w:t xml:space="preserve">Ergebnis: </w:t>
      </w:r>
      <w:r>
        <w:t>Fünf Themen identifiziert: Kliniker-Vertrauen, wahrgenommener Nutzen, organisationale Bereitschaft, Workflow-Integration, Zuverlässigkeit. Gewünschte Merkmale: Automatisierung, Feedback-Funktionalität, Workflow-Kompatibilität. Enablers: umfassendes Feedback, Ressourcentplanung. Barrieren: unzureichende Systemintegration, Tool-Zuverlässigkeitsunsicherheit. 85 % erkannten Wert für Medikationssicherheit.</w:t>
      </w:r>
    </w:p>
    <w:p>
      <w:r>
        <w:rPr>
          <w:b/>
          <w:sz w:val="19"/>
        </w:rPr>
        <w:t xml:space="preserve">Übertragbarkeit: </w:t>
      </w:r>
      <w:r>
        <w:rPr>
          <w:sz w:val="19"/>
        </w:rPr>
        <w:t>Australien, Sozialversicherungssystem unterschiedlich, Implementierungs-Ergebnisse gelten konzeptuell</w:t>
      </w:r>
    </w:p>
    <w:p>
      <w:r>
        <w:rPr>
          <w:color w:val="5A7D3A"/>
          <w:sz w:val="18"/>
        </w:rPr>
        <w:t>https://pubmed.ncbi.nlm.nih.gov/42732558/</w:t>
      </w:r>
    </w:p>
    <w:p>
      <w:pPr>
        <w:pStyle w:val="Heading2"/>
      </w:pPr>
      <w:r>
        <w:t>Frühe Erkennung und Behandlung von CAR-T- und VST-Zelltherapie-Komplikationen: Klinische Leitlinie</w:t>
      </w:r>
    </w:p>
    <w:p>
      <w:r>
        <w:rPr>
          <w:i/>
          <w:color w:val="666666"/>
          <w:sz w:val="18"/>
        </w:rPr>
        <w:t>Ussowicz M et al.  ·  Front Immunol  ·  28.08.2026  ·  PMID 42729916</w:t>
      </w:r>
    </w:p>
    <w:p>
      <w:r>
        <w:t>Narrative Übersicht mit aktualisierten Empfehlungen zur Erkennung und Behandlung früher Toxizitätsprofile nach CAR-T-Zelltherapie und virusspezifischen T-Lymphozyten, basierend auf validierten Grading-Kriterien.</w:t>
      </w:r>
    </w:p>
    <w:p>
      <w:r>
        <w:rPr>
          <w:b/>
        </w:rPr>
        <w:t xml:space="preserve">Ergebnis: </w:t>
      </w:r>
      <w:r>
        <w:t>CRS wird nach ASTCT-Kriterien klassifiziert, Tocilizumab ist Erst-Therapie. Steroid-refraktäre ICANS wird mit hochdosiertem intravenösem Anakinra (bis 12 mg/kg/Tag) behandelt – derzeit best-studied second-line-Option. ICAHT nutzt validiertes EHA/EBMT-Framework (früh Tag 0–30, spät &gt;Tag 30). Übersicht nennt konkrete Monitoreintervalle, ICU-Eskalationskriterien und differenziell-diagnostische Ansätze.</w:t>
      </w:r>
    </w:p>
    <w:p>
      <w:r>
        <w:rPr>
          <w:b/>
          <w:sz w:val="19"/>
        </w:rPr>
        <w:t xml:space="preserve">Übertragbarkeit: </w:t>
      </w:r>
      <w:r>
        <w:rPr>
          <w:sz w:val="19"/>
        </w:rPr>
        <w:t>Europäische und internationale Praxis; Empfehlungen sind versorgungssystemunabhängig</w:t>
      </w:r>
    </w:p>
    <w:p>
      <w:r>
        <w:rPr>
          <w:color w:val="5A7D3A"/>
          <w:sz w:val="18"/>
        </w:rPr>
        <w:t>https://pubmed.ncbi.nlm.nih.gov/42729916/</w:t>
      </w:r>
    </w:p>
    <w:p>
      <w:pPr>
        <w:pStyle w:val="Heading2"/>
      </w:pPr>
      <w:r>
        <w:t>Multidimensionales Nomogramm zur Stratifizierung des Blutinfektionsrisikos bei Hämatologischen Malignitäten</w:t>
      </w:r>
    </w:p>
    <w:p>
      <w:r>
        <w:rPr>
          <w:i/>
          <w:color w:val="666666"/>
          <w:sz w:val="18"/>
        </w:rPr>
        <w:t>Lan L et al.  ·  Front Cell Infect Microbiol  ·  27.08.2026  ·  PMID 42723754</w:t>
      </w:r>
    </w:p>
    <w:p>
      <w:r>
        <w:t>Retrospektive Kohortenstudie mit 3014 Patienten mit hämatologischen Malignitäten: Entwicklung eines Prognosemodells zur Vorhersage von Blutinfektionen und 90-Tage-Mortalität.</w:t>
      </w:r>
    </w:p>
    <w:p>
      <w:r>
        <w:rPr>
          <w:b/>
        </w:rPr>
        <w:t xml:space="preserve">Ergebnis: </w:t>
      </w:r>
      <w:r>
        <w:t>Das Modell für Blutinfektion erreichte AUC 0,775 (Ableitungskohorte) und 0,761 (Validierungskohorte); das Mortalitätsmodell C-Index von 0,721 bzw. 0,713. Neutrophilenzahl ≤0,5 × 10⁹/L erhielt höchste Punkt-Allokation. Polymikrobielle Infektionen zeigten höchste Gewichtung im Mortalitätsmodell. Beide Modelle zeigten akzeptable Kalibrierung.</w:t>
      </w:r>
    </w:p>
    <w:p>
      <w:r>
        <w:rPr>
          <w:b/>
          <w:sz w:val="19"/>
        </w:rPr>
        <w:t xml:space="preserve">Übertragbarkeit: </w:t>
      </w:r>
      <w:r>
        <w:rPr>
          <w:sz w:val="19"/>
        </w:rPr>
        <w:t>China, ähnliche Versorgungsstrukturen in Universitätskliniken; externe Validierung erforderlich</w:t>
      </w:r>
    </w:p>
    <w:p>
      <w:r>
        <w:rPr>
          <w:color w:val="5A7D3A"/>
          <w:sz w:val="18"/>
        </w:rPr>
        <w:t>https://pubmed.ncbi.nlm.nih.gov/42723754/</w:t>
      </w:r>
    </w:p>
    <w:p>
      <w:pPr>
        <w:pStyle w:val="Heading2"/>
      </w:pPr>
      <w:r>
        <w:t>Risikoadjustierung bei Medicare-Advantage mit Encounter-Daten: HCC-Modell-Rekalibrierung</w:t>
      </w:r>
    </w:p>
    <w:p>
      <w:r>
        <w:rPr>
          <w:i/>
          <w:color w:val="666666"/>
          <w:sz w:val="18"/>
        </w:rPr>
        <w:t>Carlin CS et al.  ·  Health Serv Res  ·  Okt. 2026  ·  PMID 42720268</w:t>
      </w:r>
    </w:p>
    <w:p>
      <w:r>
        <w:t>Vergleichende Analyse US-amerikanischer Claims: Replizierung des CMS Hierarchical Condition Category (HCC) Risikomodells mit Traditional Medicare (TM) und Medicare Advantage (MA) Daten 2016–2022; Test der Auswirkungen auf Zahlungsanpassungen.</w:t>
      </w:r>
    </w:p>
    <w:p>
      <w:r>
        <w:rPr>
          <w:b/>
        </w:rPr>
        <w:t xml:space="preserve">Ergebnis: </w:t>
      </w:r>
      <w:r>
        <w:t>MA-basierte HCC-Scores waren 8,9 % niedriger als TM-basierte (p &lt; 0,001). TM-Daten aus 2016–2022 führten zu 1,7 % niedrigeren durchschnittlichen Scores vs. CMS-Standard (2018–2019). Koeffizient-Trends bei steigenden Diagnose-Prävalenzen waren verdünnt. Unterschiede zwischen MA und TM variierten über die Score-Verteilung. Rassische/ethnische oder ländliche Unterschiede in Enrollmentinzentiven entstanden nicht.</w:t>
      </w:r>
    </w:p>
    <w:p>
      <w:r>
        <w:rPr>
          <w:b/>
          <w:sz w:val="19"/>
        </w:rPr>
        <w:t xml:space="preserve">Übertragbarkeit: </w:t>
      </w:r>
      <w:r>
        <w:rPr>
          <w:sz w:val="19"/>
        </w:rPr>
        <w:t>USA, nicht übertragbar; Finanzierungslogik grundlegend anders</w:t>
      </w:r>
    </w:p>
    <w:p>
      <w:r>
        <w:rPr>
          <w:color w:val="5A7D3A"/>
          <w:sz w:val="18"/>
        </w:rPr>
        <w:t>https://pubmed.ncbi.nlm.nih.gov/42720268/</w:t>
      </w:r>
    </w:p>
    <w:p>
      <w:pPr>
        <w:pStyle w:val="Heading2"/>
      </w:pPr>
      <w:r>
        <w:t>Dynamische Probiotika-Strategien für Nekrotisierende Enterokolitis in Frühgeborenen: Studienprotokoll</w:t>
      </w:r>
    </w:p>
    <w:p>
      <w:r>
        <w:rPr>
          <w:i/>
          <w:color w:val="666666"/>
          <w:sz w:val="18"/>
        </w:rPr>
        <w:t>Chehrazi M et al.  ·  BMJ Paediatr Open  ·  19.08.2026  ·  PMID 42618333</w:t>
      </w:r>
    </w:p>
    <w:p>
      <w:r>
        <w:t>Studienprotokoll für Target-Trial-Emulation mit Routinedaten der UK National Neonatal Research Database: Kausaleffekte von vier Probiotika-Entscheidungsdimensionen (Zeitpunkt, Stamm, Substrat, Antibiotikamanagement) bei Frühgeborenen ≤31+6 Wochen.</w:t>
      </w:r>
    </w:p>
    <w:p>
      <w:r>
        <w:rPr>
          <w:b/>
        </w:rPr>
        <w:t xml:space="preserve">Ergebnis: </w:t>
      </w:r>
      <w:r>
        <w:t>Protokoll beschreibt strukturiertes Kausalitätsgerüst für vier Probiotika-Dimensionen und explizite Zeit-Varianz-Berücksichtigung. Primäre Endpunkte: chirurgische Nekrotisierende Enterokolitis, Spätinfektionen und Sterblichkeit. Parametrische g-Formeln werden zur Confounder-Kontrolle verwendet; Ergebnisse sollen Designentwicklung randomisierter Versuche informieren.</w:t>
      </w:r>
    </w:p>
    <w:p>
      <w:r>
        <w:rPr>
          <w:b/>
          <w:sz w:val="19"/>
        </w:rPr>
        <w:t xml:space="preserve">Übertragbarkeit: </w:t>
      </w:r>
      <w:r>
        <w:rPr>
          <w:sz w:val="19"/>
        </w:rPr>
        <w:t>UK-Datenbank, vergleichbar mit deutschen Neonatologiedatensammlungen</w:t>
      </w:r>
    </w:p>
    <w:p>
      <w:r>
        <w:rPr>
          <w:color w:val="5A7D3A"/>
          <w:sz w:val="18"/>
        </w:rPr>
        <w:t>https://pubmed.ncbi.nlm.nih.gov/42618333/</w:t>
      </w:r>
    </w:p>
    <w:p>
      <w:pPr>
        <w:pStyle w:val="Heading2"/>
      </w:pPr>
      <w:r>
        <w:t>Phosphatidylcholin-Störungen bei kritischer Krankheit und Sepsis deuten auf biologische Besonderheit hin</w:t>
      </w:r>
    </w:p>
    <w:p>
      <w:r>
        <w:rPr>
          <w:i/>
          <w:color w:val="666666"/>
          <w:sz w:val="18"/>
        </w:rPr>
        <w:t>Mester P et al.  ·  Int J Mol Sci  ·  30.07.2026  ·  PMID 42589512</w:t>
      </w:r>
    </w:p>
    <w:p>
      <w:r>
        <w:t>Querschnittstudie mit 160 Intensivpatienten: 21 Plasma-Phosphatidylcholin-Spezies wurden gemessen, davon 15 bei SIRS/Sepsis ohne Zirrhose reduziert, nur PC 32:0 konsistent erhöht.</w:t>
      </w:r>
    </w:p>
    <w:p>
      <w:r>
        <w:rPr>
          <w:b/>
        </w:rPr>
        <w:t xml:space="preserve">Ergebnis: </w:t>
      </w:r>
      <w:r>
        <w:t>Bei SIRS/Sepsis ohne Leberzirrhose zeigten sich 15 PC-Spezies deutlich vermindert (p &lt; 0,05), während PC 32:0 erhöht war. Das Muster persistierte bei kombinierter Leberzirrhose. Keine signifikanten Unterschiede zwischen Überlebenden und Verstorbenen. PC 32:0-Erhöhung war transversgeschnitten konsistent und könnte eigene biologische Rolle spielen.</w:t>
      </w:r>
    </w:p>
    <w:p>
      <w:r>
        <w:rPr>
          <w:b/>
          <w:sz w:val="19"/>
        </w:rPr>
        <w:t xml:space="preserve">Übertragbarkeit: </w:t>
      </w:r>
      <w:r>
        <w:rPr>
          <w:sz w:val="19"/>
        </w:rPr>
        <w:t>Deutschland, diagnostische Markerbewertung ohne operative Folgerung; Datengrundlage unklar</w:t>
      </w:r>
    </w:p>
    <w:p>
      <w:r>
        <w:rPr>
          <w:color w:val="5A7D3A"/>
          <w:sz w:val="18"/>
        </w:rPr>
        <w:t>https://pubmed.ncbi.nlm.nih.gov/42589512/</w:t>
      </w:r>
    </w:p>
    <w:p>
      <w:pPr>
        <w:pStyle w:val="Heading2"/>
      </w:pPr>
      <w:r>
        <w:t>Natürliche Belüftung in Isoliermodulen reduziert Infektionsrisiko für Personal bei 160 L/s Luftwechsel</w:t>
      </w:r>
    </w:p>
    <w:p>
      <w:r>
        <w:rPr>
          <w:i/>
          <w:color w:val="666666"/>
          <w:sz w:val="18"/>
        </w:rPr>
        <w:t>Fontana L et al.  ·  Infect Control Hosp Epidemiol  ·  16.07.2026  ·  PMID 42460458</w:t>
      </w:r>
    </w:p>
    <w:p>
      <w:r>
        <w:t>Experimentelle CFD-Validierung und Simulation für tragbare Infektionsbehandlungsmodule (IDTM): Windgestützte natürliche Belüftung unter Variation von Windgeschwindigkeit (1–4 m/s) und Konfiguration; Infektionsrisiko mittels Wells-Riley-Modell für sieben Atemwegskeime quantifiziert.</w:t>
      </w:r>
    </w:p>
    <w:p>
      <w:r>
        <w:rPr>
          <w:b/>
        </w:rPr>
        <w:t xml:space="preserve">Ergebnis: </w:t>
      </w:r>
      <w:r>
        <w:t>Luftstrom variierte von 7 L/s (optimales Zugriffsmodul mit Windschutz + Moskitonetz bei 1 m/s) bis &gt;3100 L/s (ohne Netze bei 4 m/s). Bei 160 L/s Luftwechsel reduzierte sich Kurzzeit-Infektionsrisiko für Fachpersonal auf ≤1 % für alle Keime, Langzeit-Koexposition bei hohem Emissions-Erreger blieb jedoch risikobehaftet. Entfernung der Fenster-Netze war Wirksamste Massnahme; Hybrid-Belüftung nötig bei niedriger Windgeschwindigkeit.</w:t>
      </w:r>
    </w:p>
    <w:p>
      <w:r>
        <w:rPr>
          <w:b/>
          <w:sz w:val="19"/>
        </w:rPr>
        <w:t xml:space="preserve">Übertragbarkeit: </w:t>
      </w:r>
      <w:r>
        <w:rPr>
          <w:sz w:val="19"/>
        </w:rPr>
        <w:t>Schweiz/Österreich, modulare Isolierinfrastruktur; Ergebnis ist auf Notfallkapazität übertragbar</w:t>
      </w:r>
    </w:p>
    <w:p>
      <w:r>
        <w:rPr>
          <w:color w:val="5A7D3A"/>
          <w:sz w:val="18"/>
        </w:rPr>
        <w:t>https://pubmed.ncbi.nlm.nih.gov/42460458/</w:t>
      </w:r>
    </w:p>
    <w:p>
      <w:pPr>
        <w:pStyle w:val="Heading1"/>
      </w:pPr>
      <w:r>
        <w:t>Aufgenommen am 13.09.2026</w:t>
      </w:r>
    </w:p>
    <w:p>
      <w:pPr>
        <w:pStyle w:val="Heading2"/>
      </w:pPr>
      <w:r>
        <w:t>TeamSTEPPS-Workshop verbessert Teamfähigkeit und Kommunikationswissen bei Studierenden</w:t>
      </w:r>
    </w:p>
    <w:p>
      <w:r>
        <w:rPr>
          <w:i/>
          <w:color w:val="666666"/>
          <w:sz w:val="18"/>
        </w:rPr>
        <w:t>Yin Y et al.  ·  Nurs Open  ·  Sept. 2026  ·  PMID 42728718</w:t>
      </w:r>
    </w:p>
    <w:p>
      <w:r>
        <w:t>Evaluierung eines 4-stündigen TeamSTEPPS-Workshops mit Szenarien und Simulation für Studierende des dritten Jahres zur Verbesserung von Teamfähigkeit und Kommunikation im Versorgungskontext.</w:t>
      </w:r>
    </w:p>
    <w:p>
      <w:r>
        <w:rPr>
          <w:b/>
        </w:rPr>
        <w:t xml:space="preserve">Ergebnis: </w:t>
      </w:r>
      <w:r>
        <w:t>Gesamtscore der Chinese TeamSTEPPS Teamwork Perceptions Questionnaire stieg von 149,06±15,18 auf 159,45±16,28 (signifikant); Wissensprüfung stieg von 80,14±18,29 auf 87,33±8,43; Verbesserungen in Teamstruktur, Führung, Situationsbewusstsein und gegenseitiger Unterstützung.</w:t>
      </w:r>
    </w:p>
    <w:p>
      <w:r>
        <w:rPr>
          <w:b/>
          <w:sz w:val="19"/>
        </w:rPr>
        <w:t xml:space="preserve">Übertragbarkeit: </w:t>
      </w:r>
      <w:r>
        <w:rPr>
          <w:sz w:val="19"/>
        </w:rPr>
        <w:t>China, aber Transfer zu Deutschland durch standardisierte Simulation und etablierte Teamwork-Tools.</w:t>
      </w:r>
    </w:p>
    <w:p>
      <w:r>
        <w:rPr>
          <w:color w:val="5A7D3A"/>
          <w:sz w:val="18"/>
        </w:rPr>
        <w:t>https://pubmed.ncbi.nlm.nih.gov/42728718/</w:t>
      </w:r>
    </w:p>
    <w:p>
      <w:pPr>
        <w:pStyle w:val="Heading2"/>
      </w:pPr>
      <w:r>
        <w:t>Vasopressoranwendung bei Sepsis in Uganda und Ruanda: Prädiktoren für deren Einsatz</w:t>
      </w:r>
    </w:p>
    <w:p>
      <w:r>
        <w:rPr>
          <w:i/>
          <w:color w:val="666666"/>
          <w:sz w:val="18"/>
        </w:rPr>
        <w:t>Girard WS et al.  ·  Crit Care Explor  ·  01.09.2026  ·  PMID 42726203</w:t>
      </w:r>
    </w:p>
    <w:p>
      <w:r>
        <w:t>Retrospektive Kohortenstudie zu Vasopressoranwendung bei sepsierten Patienten in zwei Hochseuchenlastkliniken Ostafrikas mit Analyse der Behandlungsmuster.</w:t>
      </w:r>
    </w:p>
    <w:p>
      <w:r>
        <w:rPr>
          <w:b/>
        </w:rPr>
        <w:t xml:space="preserve">Ergebnis: </w:t>
      </w:r>
      <w:r>
        <w:t>Von 471 Septikämie-Patienten erhielten 24% (n=113) Vasopressoren; erhöhte UVA-Mortalitätsrisikoscores waren der stärkste Prädiktor für Vasopressoranwendung (adjustiertes OR 1,25; 95%-KI 1,14-1,27; p&lt;0,001); Sterblichkeit lag bei 30% (n=139).</w:t>
      </w:r>
    </w:p>
    <w:p>
      <w:r>
        <w:rPr>
          <w:b/>
          <w:sz w:val="19"/>
        </w:rPr>
        <w:t xml:space="preserve">Übertragbarkeit: </w:t>
      </w:r>
      <w:r>
        <w:rPr>
          <w:sz w:val="19"/>
        </w:rPr>
        <w:t>Uganda/Ruanda - Limitierte Ressourcen, aber Sepsismanagement relevant für alle Kontexte.</w:t>
      </w:r>
    </w:p>
    <w:p>
      <w:r>
        <w:rPr>
          <w:color w:val="5A7D3A"/>
          <w:sz w:val="18"/>
        </w:rPr>
        <w:t>https://pubmed.ncbi.nlm.nih.gov/42726203/</w:t>
      </w:r>
    </w:p>
    <w:p>
      <w:pPr>
        <w:pStyle w:val="Heading2"/>
      </w:pPr>
      <w:r>
        <w:t>Cefiderocol-Resistenztrends bei carbapenemresistenter Klebsiella pneumoniae vor klinischer Einführung</w:t>
      </w:r>
    </w:p>
    <w:p>
      <w:r>
        <w:rPr>
          <w:i/>
          <w:color w:val="666666"/>
          <w:sz w:val="18"/>
        </w:rPr>
        <w:t>Wang M et al.  ·  Front Cell Infect Microbiol  ·  27.08.2026  ·  PMID 42723943</w:t>
      </w:r>
    </w:p>
    <w:p>
      <w:r>
        <w:t>Retrospektive Analyse von 83 carbapenemresistenten K.-pneumoniae-Isolaten aus Blutkultur-Episoden eines chinesischen Tertiärkrankenhauses mit Cefiderocol-MIC-Bestimmung und genomischer Charakterisierung.</w:t>
      </w:r>
    </w:p>
    <w:p>
      <w:r>
        <w:rPr>
          <w:b/>
        </w:rPr>
        <w:t xml:space="preserve">Ergebnis: </w:t>
      </w:r>
      <w:r>
        <w:t>83,1% der Isolate waren nach CLSI-Kriterien Cefiderocol-empfindlich; MIC50 4 mg/L, MIC90 8 mg/L; 41% erfüllten Reduziertempfindlichkeitskriterien; ST11-Klone mit KL47/KL64 zeigten höhere MICs; bla_NDM-1 und Virulenzplasmide waren mit reduzierter Empfindlichkeit assoziiert.</w:t>
      </w:r>
    </w:p>
    <w:p>
      <w:r>
        <w:rPr>
          <w:b/>
          <w:sz w:val="19"/>
        </w:rPr>
        <w:t xml:space="preserve">Übertragbarkeit: </w:t>
      </w:r>
      <w:r>
        <w:rPr>
          <w:sz w:val="19"/>
        </w:rPr>
        <w:t>China, aber Resistenzmuster und Baseline vor Arzneimittelexposition international relevant.</w:t>
      </w:r>
    </w:p>
    <w:p>
      <w:r>
        <w:rPr>
          <w:color w:val="5A7D3A"/>
          <w:sz w:val="18"/>
        </w:rPr>
        <w:t>https://pubmed.ncbi.nlm.nih.gov/42723943/</w:t>
      </w:r>
    </w:p>
    <w:p>
      <w:pPr>
        <w:pStyle w:val="Heading2"/>
      </w:pPr>
      <w:r>
        <w:t>Schnelle Diagnostik von Blutkultur-Infektionen spart Leben und Kosten</w:t>
      </w:r>
    </w:p>
    <w:p>
      <w:r>
        <w:rPr>
          <w:i/>
          <w:color w:val="666666"/>
          <w:sz w:val="18"/>
        </w:rPr>
        <w:t>Karichu JK et al.  ·  J Med Econ  ·  10.09.2026  ·  PMID 42720132</w:t>
      </w:r>
    </w:p>
    <w:p>
      <w:r>
        <w:t>Budget-Impact-Analyse für England und USA zur Vorhersage der Kosteneffektivität von molekularen Schnelltests zur Pathogenerkennung bei Septikämien von 2025–2029.</w:t>
      </w:r>
    </w:p>
    <w:p>
      <w:r>
        <w:rPr>
          <w:b/>
        </w:rPr>
        <w:t xml:space="preserve">Ergebnis: </w:t>
      </w:r>
      <w:r>
        <w:t>In England 927000 BSI-Fälle vorhergesagt; Einsatz von Cobas Eplex BCID würde 1864 Leben retten und über £40 Millionen einsparen; in den USA 6882 Leben gerettet und über $450 Millionen Ersparnis; schnellere Pathogenidentifikation ermöglicht frühere Therapieoptimierung.</w:t>
      </w:r>
    </w:p>
    <w:p>
      <w:r>
        <w:rPr>
          <w:b/>
          <w:sz w:val="19"/>
        </w:rPr>
        <w:t xml:space="preserve">Übertragbarkeit: </w:t>
      </w:r>
      <w:r>
        <w:rPr>
          <w:sz w:val="19"/>
        </w:rPr>
        <w:t>England und USA, aber Technologie und Kostenperspektive relevant für deutsche Gesundheitssysteme.</w:t>
      </w:r>
    </w:p>
    <w:p>
      <w:r>
        <w:rPr>
          <w:color w:val="5A7D3A"/>
          <w:sz w:val="18"/>
        </w:rPr>
        <w:t>https://pubmed.ncbi.nlm.nih.gov/42720132/</w:t>
      </w:r>
    </w:p>
    <w:p>
      <w:pPr>
        <w:pStyle w:val="Heading2"/>
      </w:pPr>
      <w:r>
        <w:t>Hochgradige Transaminasenerhöhung ohne Hyperbilirubinämie: Unterschätzte Mortalitätsprognose</w:t>
      </w:r>
    </w:p>
    <w:p>
      <w:r>
        <w:rPr>
          <w:i/>
          <w:color w:val="666666"/>
          <w:sz w:val="18"/>
        </w:rPr>
        <w:t>Chalasani N et al.  ·  Clin Pharmacol Ther  ·  25.07.2026  ·  PMID 42502235</w:t>
      </w:r>
    </w:p>
    <w:p>
      <w:r>
        <w:t>Analyse von zwei Registern (DILIN und spanisches DILI-Register) mit insgesamt 964 Patienten zur prognostischen Bedeutung sehr hoher Transaminasen bei niedrig-normalem Bilirubin für druginduzierten Leberschaden.</w:t>
      </w:r>
    </w:p>
    <w:p>
      <w:r>
        <w:rPr>
          <w:b/>
        </w:rPr>
        <w:t xml:space="preserve">Ergebnis: </w:t>
      </w:r>
      <w:r>
        <w:t>Bei sehr hohem ALT und normalem Bilirubin entwickelten nur 1,3% die nR-basierte Hy's Law; minimale Bilirubinerhöhung erhöhte Risiko markant (OR 7,8); besonders hohe Transaminasen (&gt;1000 U/L) mit minimalen Bilirubinwerten hatten höchstes Risiko (OR 23,6).</w:t>
      </w:r>
    </w:p>
    <w:p>
      <w:r>
        <w:rPr>
          <w:b/>
          <w:sz w:val="19"/>
        </w:rPr>
        <w:t xml:space="preserve">Übertragbarkeit: </w:t>
      </w:r>
      <w:r>
        <w:rPr>
          <w:sz w:val="19"/>
        </w:rPr>
        <w:t>USA/Spanien, aber Befunde zur Prognoseeinschätzung unabhängig von Haftungskontext.</w:t>
      </w:r>
    </w:p>
    <w:p>
      <w:r>
        <w:rPr>
          <w:color w:val="5A7D3A"/>
          <w:sz w:val="18"/>
        </w:rPr>
        <w:t>https://pubmed.ncbi.nlm.nih.gov/42502235/</w:t>
      </w:r>
    </w:p>
    <w:p>
      <w:pPr>
        <w:pStyle w:val="Heading2"/>
      </w:pPr>
      <w:r>
        <w:t>Unbeabsichtigte Medikamentendiskrepanzen in Übergangsphasen: Überprüfungsfehler als Hauptursache</w:t>
      </w:r>
    </w:p>
    <w:p>
      <w:r>
        <w:rPr>
          <w:i/>
          <w:color w:val="666666"/>
          <w:sz w:val="18"/>
        </w:rPr>
        <w:t>Limmen B et al.  ·  Int J Clin Pharm  ·  18.07.2026  ·  PMID 42470584</w:t>
      </w:r>
    </w:p>
    <w:p>
      <w:r>
        <w:t>Analyse von 992 freiwillig gemeldeten Medikamentenzwischenfällen in Übergangsphasen aus niederländischen Krankenhäusern zur Identifikation der Ursachen von unbeabsichtigten Medikamentendiskrepanzen.</w:t>
      </w:r>
    </w:p>
    <w:p>
      <w:r>
        <w:rPr>
          <w:b/>
        </w:rPr>
        <w:t xml:space="preserve">Ergebnis: </w:t>
      </w:r>
      <w:r>
        <w:t>94% der Zwischenfälle waren menschliche Fehler, davon 49,6% Überprüfungsfehler und 24,8% Interventionsfehler; 74,1% erreichten den Patienten; Omissionen waren die häufigsten Diskrepanztypen (36,2%); kardiovaskuläre Medikamente am häufigsten betroffen (24,9%).</w:t>
      </w:r>
    </w:p>
    <w:p>
      <w:r>
        <w:rPr>
          <w:b/>
          <w:sz w:val="19"/>
        </w:rPr>
        <w:t xml:space="preserve">Übertragbarkeit: </w:t>
      </w:r>
      <w:r>
        <w:rPr>
          <w:sz w:val="19"/>
        </w:rPr>
        <w:t>Niederlande, vergleichbares Versicherungssystem und Dokumentationspflichten.</w:t>
      </w:r>
    </w:p>
    <w:p>
      <w:r>
        <w:rPr>
          <w:color w:val="5A7D3A"/>
          <w:sz w:val="18"/>
        </w:rPr>
        <w:t>https://pubmed.ncbi.nlm.nih.gov/42470584/</w:t>
      </w:r>
    </w:p>
    <w:p>
      <w:pPr>
        <w:pStyle w:val="Heading1"/>
      </w:pPr>
      <w:r>
        <w:t>Aufgenommen am 12.09.2026</w:t>
      </w:r>
    </w:p>
    <w:p>
      <w:pPr>
        <w:pStyle w:val="Heading2"/>
      </w:pPr>
      <w:r>
        <w:t>Ungeeignete Arzneimittelkaskaden in älteren Erwachsenen: Priorisierung nach Epidemiologie und Assoziationsstärke</w:t>
      </w:r>
    </w:p>
    <w:p>
      <w:r>
        <w:rPr>
          <w:i/>
          <w:color w:val="666666"/>
          <w:sz w:val="18"/>
        </w:rPr>
        <w:t>Rochon PA et al.  ·  BMJ  ·  10.09.2026  ·  PMID 42727946</w:t>
      </w:r>
    </w:p>
    <w:p>
      <w:r>
        <w:t>Bevölkerungsbasierte Analyse administrativer Daten zur Identifikation potenziell unerwünschter Verschreibungskaskaden in der älteren kanadischen Bevölkerung mit systematischer Priorisierung.</w:t>
      </w:r>
    </w:p>
    <w:p>
      <w:r>
        <w:rPr>
          <w:b/>
        </w:rPr>
        <w:t xml:space="preserve">Ergebnis: </w:t>
      </w:r>
      <w:r>
        <w:t>24 von 65 untersuchten Kaskaden erfüllten Priorisierungskriterien (Prävalenz ≥5%, Inzidenz ≥1%, angepasste Sequenzratio &gt;1). Höchste Inzidenzen: Eisen-zu-Laxans 11,9%, Statine-zu-Schmerzmittel 10,9%, Cholinesterase-Inhibitor-zu-Schlafmittel 10,3%. Stärkste zeitliche Assoziationen: Kortikosteroid-zu-Antipsychotika RR 2,55, Laxans-zu-Antidiarrhöika RR 2,53.</w:t>
      </w:r>
    </w:p>
    <w:p>
      <w:r>
        <w:rPr>
          <w:b/>
          <w:sz w:val="19"/>
        </w:rPr>
        <w:t xml:space="preserve">Übertragbarkeit: </w:t>
      </w:r>
      <w:r>
        <w:rPr>
          <w:sz w:val="19"/>
        </w:rPr>
        <w:t>Kanada, vergleichbarer Versicherungskontext, Deprescribing-Ansätze übertragbar</w:t>
      </w:r>
    </w:p>
    <w:p>
      <w:r>
        <w:rPr>
          <w:color w:val="5A7D3A"/>
          <w:sz w:val="18"/>
        </w:rPr>
        <w:t>https://pubmed.ncbi.nlm.nih.gov/42727946/</w:t>
      </w:r>
    </w:p>
    <w:p>
      <w:pPr>
        <w:pStyle w:val="Heading2"/>
      </w:pPr>
      <w:r>
        <w:t>Chirurgische Wundinfektionen in Frankreich: Systemische Analyse von Häufigkeit, Kosten und Wiederaufnahmen</w:t>
      </w:r>
    </w:p>
    <w:p>
      <w:r>
        <w:rPr>
          <w:i/>
          <w:color w:val="666666"/>
          <w:sz w:val="18"/>
        </w:rPr>
        <w:t>Aragno VA et al.  ·  Inquiry  ·  11.09.2026  ·  PMID 42727077</w:t>
      </w:r>
    </w:p>
    <w:p>
      <w:r>
        <w:t>Retrospektive Analyse der französischen Krankenversicherungsdatenbank zu Häufigkeit und Kostenfolgen von Wundkomplikationen nach elektiven Operationen in vier Fachgebieten.</w:t>
      </w:r>
    </w:p>
    <w:p>
      <w:r>
        <w:rPr>
          <w:b/>
        </w:rPr>
        <w:t xml:space="preserve">Ergebnis: </w:t>
      </w:r>
      <w:r>
        <w:t>Infektionsraten (SSI) ranged 0.44 % (orthopädisch) to 3.09 % (Magen-Darm); Herzchirurgie zeigte höchste Komplikationsrate 14,91 %. Wundkomplikationen führten zu 11–28 zusätzlichen Hospitalisierungstagen und 6.622–22.109 Euro Mehrkosten pro Fall; Wiederaufnahmen insgesamt 840 Mio. Euro Belastung pro Jahr. Vergleichbare administrative Datenqualität zu Deutschland.</w:t>
      </w:r>
    </w:p>
    <w:p>
      <w:r>
        <w:rPr>
          <w:b/>
          <w:sz w:val="19"/>
        </w:rPr>
        <w:t xml:space="preserve">Übertragbarkeit: </w:t>
      </w:r>
      <w:r>
        <w:rPr>
          <w:sz w:val="19"/>
        </w:rPr>
        <w:t>Frankreich, vergleichbare Sozialversicherung, PMSI-Datensatz ähnlich Fallpauschalensystem</w:t>
      </w:r>
    </w:p>
    <w:p>
      <w:r>
        <w:rPr>
          <w:color w:val="5A7D3A"/>
          <w:sz w:val="18"/>
        </w:rPr>
        <w:t>https://pubmed.ncbi.nlm.nih.gov/42727077/</w:t>
      </w:r>
    </w:p>
    <w:p>
      <w:pPr>
        <w:pStyle w:val="Heading2"/>
      </w:pPr>
      <w:r>
        <w:t>Multiresistente Blutstrominfektion bei Kindern mit Hochrisiko-Leukämie: Levofloxacin-Prophylaxe und Resistenzentwicklung</w:t>
      </w:r>
    </w:p>
    <w:p>
      <w:r>
        <w:rPr>
          <w:i/>
          <w:color w:val="666666"/>
          <w:sz w:val="18"/>
        </w:rPr>
        <w:t>Alsabagh M et al.  ·  Pol Merkur Lekarski  ·  2026  ·  PMID 42726826</w:t>
      </w:r>
    </w:p>
    <w:p>
      <w:r>
        <w:t>Retrospektive Kohortenstudie zum Vergleich von multiresistenter Kolonisation und Blutstrominfektion bei intensiv chemotherapierten Kindern mit und ohne Fluorchinolon-Prophylaxe.</w:t>
      </w:r>
    </w:p>
    <w:p>
      <w:r>
        <w:rPr>
          <w:b/>
        </w:rPr>
        <w:t xml:space="preserve">Ergebnis: </w:t>
      </w:r>
      <w:r>
        <w:t>82 Kinder (67,1% männlich), medianes Alter 10 Jahre. Febrile Neutropenie in 89,3% der Zyklen. Fluorchinolon-Empfindlichkeit niedrig: 16% bei rektalen und 11,8% bei Blutkultur-Isolaten, abnehmend über Zyklen. Mortalität assoziiert mit multiresistenter Klebsiella pneumoniae und Fluorchinolon-Resistenz. Routine-Levofloxacin-Prophylaxe bietet begrenzte Vorteile.</w:t>
      </w:r>
    </w:p>
    <w:p>
      <w:r>
        <w:rPr>
          <w:b/>
          <w:sz w:val="19"/>
        </w:rPr>
        <w:t xml:space="preserve">Übertragbarkeit: </w:t>
      </w:r>
      <w:r>
        <w:rPr>
          <w:sz w:val="19"/>
        </w:rPr>
        <w:t>Ägypten, Antibiotic-Stewardship-Problem international relevant</w:t>
      </w:r>
    </w:p>
    <w:p>
      <w:r>
        <w:rPr>
          <w:color w:val="5A7D3A"/>
          <w:sz w:val="18"/>
        </w:rPr>
        <w:t>https://pubmed.ncbi.nlm.nih.gov/42726826/</w:t>
      </w:r>
    </w:p>
    <w:p>
      <w:pPr>
        <w:pStyle w:val="Heading2"/>
      </w:pPr>
      <w:r>
        <w:t>Multizentrischer Ausbruch durch Candida viswanathii in kontaminiertem Milrinon, Italien 2025</w:t>
      </w:r>
    </w:p>
    <w:p>
      <w:r>
        <w:rPr>
          <w:i/>
          <w:color w:val="666666"/>
          <w:sz w:val="18"/>
        </w:rPr>
        <w:t>Mesini A et al.  ·  Euro Surveill  ·  Sept. 2026  ·  PMID 42725369</w:t>
      </w:r>
    </w:p>
    <w:p>
      <w:r>
        <w:t>Epidemiologische Untersuchung eines Ausbruchs von Blutstrominfektion durch ein seltenes Hefepilz-Medikament-assoziiert nach hypothesengestützter Ermittlung.</w:t>
      </w:r>
    </w:p>
    <w:p>
      <w:r>
        <w:rPr>
          <w:b/>
        </w:rPr>
        <w:t xml:space="preserve">Ergebnis: </w:t>
      </w:r>
      <w:r>
        <w:t>40 Fälle von Kandidämie in vier italienischen Zentren, April–Oktober 2025, alle durch kontaminiertes Milrinon verursacht. Starke geografische Assoziation mit indischem Subkontinent führte zur Identifikation des Infektionsöls. Sofortige Maßnahmen: Produktrückzug, Benachrichtigung der Behörden, aktive mikrobiologische Überwachung exponierter Patienten.</w:t>
      </w:r>
    </w:p>
    <w:p>
      <w:r>
        <w:rPr>
          <w:b/>
          <w:sz w:val="19"/>
        </w:rPr>
        <w:t xml:space="preserve">Übertragbarkeit: </w:t>
      </w:r>
      <w:r>
        <w:rPr>
          <w:sz w:val="19"/>
        </w:rPr>
        <w:t>Europa-Italien, klinische Ausbruchserkennung und Pharmakovigilanz übertragbar</w:t>
      </w:r>
    </w:p>
    <w:p>
      <w:r>
        <w:rPr>
          <w:color w:val="5A7D3A"/>
          <w:sz w:val="18"/>
        </w:rPr>
        <w:t>https://pubmed.ncbi.nlm.nih.gov/42725369/</w:t>
      </w:r>
    </w:p>
    <w:p>
      <w:pPr>
        <w:pStyle w:val="Heading2"/>
      </w:pPr>
      <w:r>
        <w:t>Aufbereitung chirurgischer Instrumente in Katastrophenfällen: Barrieren, Lücken und Handlungsoptionen</w:t>
      </w:r>
    </w:p>
    <w:p>
      <w:r>
        <w:rPr>
          <w:i/>
          <w:color w:val="666666"/>
          <w:sz w:val="18"/>
        </w:rPr>
        <w:t>Nematollahi MS et al.  ·  Antimicrob Resist Infect Control  ·  28.08.2026  ·  PMID 42723127</w:t>
      </w:r>
    </w:p>
    <w:p>
      <w:r>
        <w:t>Systematischer Review zu Vulnerabilitäten, Barrieren und adaptiven Strategien bei der Sterilisation wiederverwendbarer Instrumente während Infektionsausbrüchen und Katastrophen.</w:t>
      </w:r>
    </w:p>
    <w:p>
      <w:r>
        <w:rPr>
          <w:b/>
        </w:rPr>
        <w:t xml:space="preserve">Ergebnis: </w:t>
      </w:r>
      <w:r>
        <w:t>11 Studien aus neun Ländern. Wiederkehrende Barrieren: unvollständige Reinigung, mangelhafte Lumen-Dekontamination, Geräteausfälle, kontaminierte Wasser-/Spülsysteme, begrenzte Notfallvorbereitung, Personalengpässe, fehlende Instrumentenverfolgung. Adaptive Strategien: standardisierte Reinigungsprotokolle, Umgebungsüberwachung, Schulung, mobile/Container-Sterilisationskapazität, Notfall-Aufbereitungskonzepte. Herausforderungen sind operational-infrastrukturell, nicht isoliert technisch.</w:t>
      </w:r>
    </w:p>
    <w:p>
      <w:r>
        <w:rPr>
          <w:b/>
          <w:sz w:val="19"/>
        </w:rPr>
        <w:t xml:space="preserve">Übertragbarkeit: </w:t>
      </w:r>
      <w:r>
        <w:rPr>
          <w:sz w:val="19"/>
        </w:rPr>
        <w:t>Internationale Evidenz aus Ausbruchsuntersuchungen, auf Deutschland übertragbar</w:t>
      </w:r>
    </w:p>
    <w:p>
      <w:r>
        <w:rPr>
          <w:color w:val="5A7D3A"/>
          <w:sz w:val="18"/>
        </w:rPr>
        <w:t>https://pubmed.ncbi.nlm.nih.gov/42723127/</w:t>
      </w:r>
    </w:p>
    <w:p>
      <w:pPr>
        <w:pStyle w:val="Heading2"/>
      </w:pPr>
      <w:r>
        <w:t>CXCL10-Genotyp rs8878 und T-Zell-Erhalt im Sepsis-Verlauf: Biomarker für Risikostratifizierung</w:t>
      </w:r>
    </w:p>
    <w:p>
      <w:r>
        <w:rPr>
          <w:i/>
          <w:color w:val="666666"/>
          <w:sz w:val="18"/>
        </w:rPr>
        <w:t>Dyck B et al.  ·  Front Immunol  ·  17.07.2026  ·  PMID 42540005</w:t>
      </w:r>
    </w:p>
    <w:p>
      <w:r>
        <w:t>Prospektive Kohortenstudie zu Assoziation des CXCL10-Genotyps mit T-Lymphozyten-Homöostase und 30-Tage-Mortalität bei Sepsis-Patienten in Deutschland.</w:t>
      </w:r>
    </w:p>
    <w:p>
      <w:r>
        <w:rPr>
          <w:b/>
        </w:rPr>
        <w:t xml:space="preserve">Ergebnis: </w:t>
      </w:r>
      <w:r>
        <w:t>278 sepsis-Patienten untersucht. AA-Genotyp-Träger hatten höhere zirkulierende T-Zell-Zahlen und verbesserte Überlebenschancen vs. G-Allel-Träger. Höhere Gesamt- und CD8+-T-Zell-Zahlen signifikant mit verbessertem Überleben assoziiert. CXCL10-Konzentrationen Tag 1 positiv mit IL-6, IL-8, IL-10, IL-18, MCP-1, IFN-γ korreliert, invers mit T-Zell-Zahlen. AA-Genotyp prädiktiv für bessere 30-Tage-Überlebenschance.</w:t>
      </w:r>
    </w:p>
    <w:p>
      <w:r>
        <w:rPr>
          <w:b/>
          <w:sz w:val="19"/>
        </w:rPr>
        <w:t xml:space="preserve">Übertragbarkeit: </w:t>
      </w:r>
      <w:r>
        <w:rPr>
          <w:sz w:val="19"/>
        </w:rPr>
        <w:t>Deutschland, Ruhr-Universität Bochum, direkt auf deutsches Patientenkollektiv anwendbar</w:t>
      </w:r>
    </w:p>
    <w:p>
      <w:r>
        <w:rPr>
          <w:color w:val="5A7D3A"/>
          <w:sz w:val="18"/>
        </w:rPr>
        <w:t>https://pubmed.ncbi.nlm.nih.gov/42540005/</w:t>
      </w:r>
    </w:p>
    <w:p>
      <w:pPr>
        <w:pStyle w:val="Heading1"/>
      </w:pPr>
      <w:r>
        <w:t>Aufgenommen am 11.09.2026</w:t>
      </w:r>
    </w:p>
    <w:p>
      <w:pPr>
        <w:pStyle w:val="Heading2"/>
      </w:pPr>
      <w:r>
        <w:t>Rapid diagnostik senkt Zeitspanne bei Gram-negativer Sepsis um 14-19 Stunden</w:t>
      </w:r>
    </w:p>
    <w:p>
      <w:r>
        <w:rPr>
          <w:i/>
          <w:color w:val="666666"/>
          <w:sz w:val="18"/>
        </w:rPr>
        <w:t>Benyahia M et al.  ·  PLoS One  ·  10.09.2026  ·  PMID 42721154</w:t>
      </w:r>
    </w:p>
    <w:p>
      <w:r>
        <w:t>Prospektive Studie zur Beschleunigung der Diagnostik bei Gram-negativen Blutstrominfektionen auf Intensivstationen mit molekularen und schnellen Empfindlichkeitsmethoden.</w:t>
      </w:r>
    </w:p>
    <w:p>
      <w:r>
        <w:rPr>
          <w:b/>
        </w:rPr>
        <w:t xml:space="preserve">Ergebnis: </w:t>
      </w:r>
      <w:r>
        <w:t>BioFire BCID2 und Vitek REVEAL reduzierten die Identifikationszeit um 19,0 Stunden und die Empfindlichkeitstestung um 14,9 Stunden bei 50 ICU-Patienten mit Monomikrobium-Infektionen; kategoriale Übereinstimmung mit Standardmethoden 97,7%.</w:t>
      </w:r>
    </w:p>
    <w:p>
      <w:r>
        <w:rPr>
          <w:b/>
          <w:sz w:val="19"/>
        </w:rPr>
        <w:t xml:space="preserve">Übertragbarkeit: </w:t>
      </w:r>
      <w:r>
        <w:rPr>
          <w:sz w:val="19"/>
        </w:rPr>
        <w:t>Frankreich, vergleichbares Dokumentationssystem in der Intensivmedizin</w:t>
      </w:r>
    </w:p>
    <w:p>
      <w:r>
        <w:rPr>
          <w:color w:val="5A7D3A"/>
          <w:sz w:val="18"/>
        </w:rPr>
        <w:t>https://pubmed.ncbi.nlm.nih.gov/42721154/</w:t>
      </w:r>
    </w:p>
    <w:p>
      <w:pPr>
        <w:pStyle w:val="Heading2"/>
      </w:pPr>
      <w:r>
        <w:t>Albuminmangel nach E.-coli-Sepsis erhöht Sterblichkeit um 10-fach bei Kindern</w:t>
      </w:r>
    </w:p>
    <w:p>
      <w:r>
        <w:rPr>
          <w:i/>
          <w:color w:val="666666"/>
          <w:sz w:val="18"/>
        </w:rPr>
        <w:t>Cheng J et al.  ·  Ann Med  ·  10.09.2026  ·  PMID 42720514</w:t>
      </w:r>
    </w:p>
    <w:p>
      <w:r>
        <w:t>Retrospektive Kohortenstudie zu Prädiktoren der Krankenhaus-Sterblichkeit bei Kindern mit E.-coli-Blutstrominfektionen, fokussiert auf post-infektiven Albuminmangel.</w:t>
      </w:r>
    </w:p>
    <w:p>
      <w:r>
        <w:rPr>
          <w:b/>
        </w:rPr>
        <w:t xml:space="preserve">Ergebnis: </w:t>
      </w:r>
      <w:r>
        <w:t>Bei 211 Kindern mit E.-coli-Sepsis betrug die Sterblichkeit 12,32%; sekundärer Albuminmangel war nach Kontrolle für Beatmung, PRISM-Score und Zeit bis Nachweis mit Odds Ratio 10,59 (95% KI 1,39-80,91; p&lt;0,05) unabhängig mit Mortalität assoziiert.</w:t>
      </w:r>
    </w:p>
    <w:p>
      <w:r>
        <w:rPr>
          <w:b/>
          <w:sz w:val="19"/>
        </w:rPr>
        <w:t xml:space="preserve">Übertragbarkeit: </w:t>
      </w:r>
      <w:r>
        <w:rPr>
          <w:sz w:val="19"/>
        </w:rPr>
        <w:t>China, außereuropäisch; Struktur der Risikostratifizierung übertragbar</w:t>
      </w:r>
    </w:p>
    <w:p>
      <w:r>
        <w:rPr>
          <w:color w:val="5A7D3A"/>
          <w:sz w:val="18"/>
        </w:rPr>
        <w:t>https://pubmed.ncbi.nlm.nih.gov/42720514/</w:t>
      </w:r>
    </w:p>
    <w:p>
      <w:pPr>
        <w:pStyle w:val="Heading2"/>
      </w:pPr>
      <w:r>
        <w:t>Klinische Antibiotikatiming bei Sepsis folgt Zwei-Achsen-Muster</w:t>
      </w:r>
    </w:p>
    <w:p>
      <w:r>
        <w:rPr>
          <w:i/>
          <w:color w:val="666666"/>
          <w:sz w:val="18"/>
        </w:rPr>
        <w:t>Currey D et al.  ·  Crit Care Explor  ·  01.09.2026  ·  PMID 42720074</w:t>
      </w:r>
    </w:p>
    <w:p>
      <w:r>
        <w:t>Retrospektive Observationsstudie mit maschinellem Lernen zur Validierung eines Dual-Achsen-Modells für Antibiotikatiming bei Verdacht auf Sepsis in 199.062 Notaufnahmen.</w:t>
      </w:r>
    </w:p>
    <w:p>
      <w:r>
        <w:rPr>
          <w:b/>
        </w:rPr>
        <w:t xml:space="preserve">Ergebnis: </w:t>
      </w:r>
      <w:r>
        <w:t>Bei 115.152 Notaufnahmen validiert: Antibiotikatiming folgt kontinuierlichem Gradienten mit Wahrscheinlichkeit von Infektion und physiologischem Schweregrad (Interaktion p=0,0013); verzögertes Timing über Erwartung hinaus assoziiert mit erhöhter 3-Tage-ICU-Rate oder Sterblichkeit (p&lt;0,001).</w:t>
      </w:r>
    </w:p>
    <w:p>
      <w:r>
        <w:rPr>
          <w:b/>
          <w:sz w:val="19"/>
        </w:rPr>
        <w:t xml:space="preserve">Übertragbarkeit: </w:t>
      </w:r>
      <w:r>
        <w:rPr>
          <w:sz w:val="19"/>
        </w:rPr>
        <w:t>USA, aber Sicherheitsbefund zur Entscheidungsfindung unabhängig von System</w:t>
      </w:r>
    </w:p>
    <w:p>
      <w:r>
        <w:rPr>
          <w:color w:val="5A7D3A"/>
          <w:sz w:val="18"/>
        </w:rPr>
        <w:t>https://pubmed.ncbi.nlm.nih.gov/42720074/</w:t>
      </w:r>
    </w:p>
    <w:p>
      <w:pPr>
        <w:pStyle w:val="Heading2"/>
      </w:pPr>
      <w:r>
        <w:t>Ärztliche Entwertung – systematische Definition eines Sicherheitsrisikos</w:t>
      </w:r>
    </w:p>
    <w:p>
      <w:r>
        <w:rPr>
          <w:i/>
          <w:color w:val="666666"/>
          <w:sz w:val="18"/>
        </w:rPr>
        <w:t>Lerch SP et al.  ·  BMC Health Serv Res  ·  08.09.2026  ·  PMID 42717341</w:t>
      </w:r>
    </w:p>
    <w:p>
      <w:r>
        <w:t>Scoping Review zur Begriffsklärung, Messung, Ursachen und Folgen von ärztlicher Entwertung und medizinischem Gaslighting anhand von 158 wissenschaftlichen Arbeiten.</w:t>
      </w:r>
    </w:p>
    <w:p>
      <w:r>
        <w:rPr>
          <w:b/>
        </w:rPr>
        <w:t xml:space="preserve">Ergebnis: </w:t>
      </w:r>
      <w:r>
        <w:t>Erhebliche Inkonsistenz in Definitionen von Entwertung, Nichternstnehmen und Gaslighting; Phänomen ist multifaktoriell (diagnostische Schwierigkeiten, strukturelle Faktoren, Stigma, Wissenlücken); assoziiert mit Verhaltens-, emotionalen, kognitiven, körperlichen und systemischen Schäden; Validierung und Interventionen auf mehreren Ebenen erforderlich.</w:t>
      </w:r>
    </w:p>
    <w:p>
      <w:r>
        <w:rPr>
          <w:b/>
          <w:sz w:val="19"/>
        </w:rPr>
        <w:t xml:space="preserve">Übertragbarkeit: </w:t>
      </w:r>
      <w:r>
        <w:rPr>
          <w:sz w:val="19"/>
        </w:rPr>
        <w:t>Deutschland (Autorin Greifswald), hohes Transferpotenzial für Patientensicherheitsforschung</w:t>
      </w:r>
    </w:p>
    <w:p>
      <w:r>
        <w:rPr>
          <w:color w:val="5A7D3A"/>
          <w:sz w:val="18"/>
        </w:rPr>
        <w:t>https://pubmed.ncbi.nlm.nih.gov/42717341/</w:t>
      </w:r>
    </w:p>
    <w:p>
      <w:pPr>
        <w:pStyle w:val="Heading2"/>
      </w:pPr>
      <w:r>
        <w:t>Antimikrobielles Stewardship für ältere Sepsis-Patienten – Pfad für Ressourcen-begrenzte Länder</w:t>
      </w:r>
    </w:p>
    <w:p>
      <w:r>
        <w:rPr>
          <w:i/>
          <w:color w:val="666666"/>
          <w:sz w:val="18"/>
        </w:rPr>
        <w:t>Jing L et al.  ·  J Infect Dev Ctries  ·  31.08.2026  ·  PMID 42715272</w:t>
      </w:r>
    </w:p>
    <w:p>
      <w:r>
        <w:t>Retrospektive Kohortenstudie zu Gram-negativer Sepsis bei 122 älteren Patienten in Shanghai mit Ziel, einen kosteneffizienten, lokale Resistenzprofile berücksichtigenden Behandlungspfad zu entwickeln.</w:t>
      </w:r>
    </w:p>
    <w:p>
      <w:r>
        <w:rPr>
          <w:b/>
        </w:rPr>
        <w:t xml:space="preserve">Ergebnis: </w:t>
      </w:r>
      <w:r>
        <w:t>Gram-negative Keime dominierten (54,9%); 28-Tage-Mortalität 37,7%; Cefoperazon-Sulbactam-Empfindlichkeit 85,0%; unabhängige Mortalitätsprädiktoren waren Alter (aOR 1,10 pro Jahr), ICU-Aufnahme (aOR 6,65), Beatmung (aOR 5,78), Dialyse (aOR 3,62); entwickelter Karbapenem-sparender Pfad für Stewardship.</w:t>
      </w:r>
    </w:p>
    <w:p>
      <w:r>
        <w:rPr>
          <w:b/>
          <w:sz w:val="19"/>
        </w:rPr>
        <w:t xml:space="preserve">Übertragbarkeit: </w:t>
      </w:r>
      <w:r>
        <w:rPr>
          <w:sz w:val="19"/>
        </w:rPr>
        <w:t>China, aber Prinzipien zu lokalen Resistenzmustern und Stewardship international übertragbar</w:t>
      </w:r>
    </w:p>
    <w:p>
      <w:r>
        <w:rPr>
          <w:color w:val="5A7D3A"/>
          <w:sz w:val="18"/>
        </w:rPr>
        <w:t>https://pubmed.ncbi.nlm.nih.gov/42715272/</w:t>
      </w:r>
    </w:p>
    <w:p>
      <w:pPr>
        <w:pStyle w:val="Heading2"/>
      </w:pPr>
      <w:r>
        <w:t>Pflegeausfälle führen zu Strafverurteilungen – zehn Urteile analysiert</w:t>
      </w:r>
    </w:p>
    <w:p>
      <w:r>
        <w:rPr>
          <w:i/>
          <w:color w:val="666666"/>
          <w:sz w:val="18"/>
        </w:rPr>
        <w:t>Noacco M et al.  ·  Int J Nurs Stud  ·  24.07.2026  ·  PMID 42526145</w:t>
      </w:r>
    </w:p>
    <w:p>
      <w:r>
        <w:t>Qualitative Dokumentenanalyse von Urteilen des italienischen Obersten Kasationshofes zu Verurteilungen von Pflegepersonen wegen Verwahrlosung oder Verzögerung bei Pflegeleistungen zwischen 2004 und 2022.</w:t>
      </w:r>
    </w:p>
    <w:p>
      <w:r>
        <w:rPr>
          <w:b/>
        </w:rPr>
        <w:t xml:space="preserve">Ergebnis: </w:t>
      </w:r>
      <w:r>
        <w:t>10 Urteile zwischen Dezember 2004 und Oktober 2022; in 8 Fällen trat Patiententod ein, in 2 Fällen Dauerschäden; häufigste Ausfälle waren unzureichende Vitalzeichenüberwachung, postoperative Versorgung, unzureichende Dokumentation, Vernachlässigung von Basispflege; Ausfälle auf Ebenen von Einzelperson, Station und System identifiziert.</w:t>
      </w:r>
    </w:p>
    <w:p>
      <w:r>
        <w:rPr>
          <w:b/>
          <w:sz w:val="19"/>
        </w:rPr>
        <w:t xml:space="preserve">Übertragbarkeit: </w:t>
      </w:r>
      <w:r>
        <w:rPr>
          <w:sz w:val="19"/>
        </w:rPr>
        <w:t>Italien, anderes Haftungssystem ohne Verschuldensnachweis; Faktoren des Versorgungsausfalls sind relevant</w:t>
      </w:r>
    </w:p>
    <w:p>
      <w:r>
        <w:rPr>
          <w:color w:val="5A7D3A"/>
          <w:sz w:val="18"/>
        </w:rPr>
        <w:t>https://pubmed.ncbi.nlm.nih.gov/42526145/</w:t>
      </w:r>
    </w:p>
    <w:p>
      <w:pPr>
        <w:pStyle w:val="Heading1"/>
      </w:pPr>
      <w:r>
        <w:t>Aufgenommen am 10.09.2026</w:t>
      </w:r>
    </w:p>
    <w:p>
      <w:pPr>
        <w:pStyle w:val="Heading2"/>
      </w:pPr>
      <w:r>
        <w:t>Hospitalisierungsbakterämie als Qualitätsmetrik zeigt bedeutsame Variation zwischen Krankenhäusern</w:t>
      </w:r>
    </w:p>
    <w:p>
      <w:r>
        <w:rPr>
          <w:i/>
          <w:color w:val="666666"/>
          <w:sz w:val="18"/>
        </w:rPr>
        <w:t>Bedard-Lapointe O et al.  ·  JAMA Netw Open  ·  01.09.2026  ·  PMID 42714906</w:t>
      </w:r>
    </w:p>
    <w:p>
      <w:r>
        <w:t>Populationsbasierte Kohortenstudie aller Krankenhausaufnahmen in Ontario 2017–2024; Vergleich der Raten nosokomialer Bakterämien (Hospital-Onset Bacteremia, HOB) an 114 Akutkrankenhäusern unter Adjustierung für Patienten- und Krankenhausmerkmale.</w:t>
      </w:r>
    </w:p>
    <w:p>
      <w:r>
        <w:rPr>
          <w:b/>
        </w:rPr>
        <w:t xml:space="preserve">Ergebnis: </w:t>
      </w:r>
      <w:r>
        <w:t>3.325.900 Aufnahmen, 61.452 HOB-Episoden über 29.721.745 Aufnahmetage, Gesamtrate 2,07 pro 1.000 Aufnahmetage. Über 114 Krankenhäuser deutliche Variation: 10. Perzentil 0,39, 25. Perzentil 0,71, Median 1,08, 75. Perzentil 1,68, 90. Perzentil 2,27 pro 1.000 Aufnahmetage. Random-Intercept für Krankenhäuser SD 0,36 (95%-CI 0,29–0,42), Rate-Ratio 1,43 (95%-CI 1,34–1,52) pro 1 SD. HOB-Rate ein zuverlässiger Qualitätsindikator zur Differenzierung zwischen Kliniken.</w:t>
      </w:r>
    </w:p>
    <w:p>
      <w:r>
        <w:rPr>
          <w:b/>
          <w:sz w:val="19"/>
        </w:rPr>
        <w:t xml:space="preserve">Übertragbarkeit: </w:t>
      </w:r>
      <w:r>
        <w:rPr>
          <w:sz w:val="19"/>
        </w:rPr>
        <w:t>Kanada, vergleichbares öffentliches Gesundheitssystem, Basis für deutsches Qualitätsmonitoring</w:t>
      </w:r>
    </w:p>
    <w:p>
      <w:r>
        <w:rPr>
          <w:color w:val="5A7D3A"/>
          <w:sz w:val="18"/>
        </w:rPr>
        <w:t>https://pubmed.ncbi.nlm.nih.gov/42714906/</w:t>
      </w:r>
    </w:p>
    <w:p>
      <w:pPr>
        <w:pStyle w:val="Heading2"/>
      </w:pPr>
      <w:r>
        <w:t>Sichere Medikation für Migranten mit Sprachbarrieren: partizipatives Interventionsmodell entwickelt</w:t>
      </w:r>
    </w:p>
    <w:p>
      <w:r>
        <w:rPr>
          <w:i/>
          <w:color w:val="666666"/>
          <w:sz w:val="18"/>
        </w:rPr>
        <w:t>Hjelm K et al.  ·  BMC Health Serv Res  ·  07.09.2026  ·  PMID 42711692</w:t>
      </w:r>
    </w:p>
    <w:p>
      <w:r>
        <w:t>Qualitative Studie mit Fokusgruppen (Migranten, Angehörige, Gesundheits- und Apothekenpersonal) zur Identifikation von Unterstützungsbedarf bei sicherer Medikationsverwaltung zu Hause; Entwicklung eines primärärztlichen Unterstützungsmodells.</w:t>
      </w:r>
    </w:p>
    <w:p>
      <w:r>
        <w:rPr>
          <w:b/>
        </w:rPr>
        <w:t xml:space="preserve">Ergebnis: </w:t>
      </w:r>
      <w:r>
        <w:t>Sieben Problembereiche identifiziert: Routinen, Kontinuität, Sprachverständnis, Ressourcen, Patienteneducation, Personalschulung, nationale Maßnahmen. Erforderliche Unterstützung auf allen Ebenen – besonders institutionell und infrastrukturell – sowie in alltäglichen Arzt-Patienten-Interaktionen. Interventionsmodell mit erweitertem interdisziplinärem Team, Angehörigen, Apothekern und erreichbarem Koordinator entwickelt.</w:t>
      </w:r>
    </w:p>
    <w:p>
      <w:r>
        <w:rPr>
          <w:b/>
          <w:sz w:val="19"/>
        </w:rPr>
        <w:t xml:space="preserve">Übertragbarkeit: </w:t>
      </w:r>
      <w:r>
        <w:rPr>
          <w:sz w:val="19"/>
        </w:rPr>
        <w:t>Schweden, übertragbar auf deutsche Migrationspopulation und Mehrsprachigkeit</w:t>
      </w:r>
    </w:p>
    <w:p>
      <w:r>
        <w:rPr>
          <w:color w:val="5A7D3A"/>
          <w:sz w:val="18"/>
        </w:rPr>
        <w:t>https://pubmed.ncbi.nlm.nih.gov/42711692/</w:t>
      </w:r>
    </w:p>
    <w:p>
      <w:pPr>
        <w:pStyle w:val="Heading2"/>
      </w:pPr>
      <w:r>
        <w:t>Medikamentensicherheit bei mitochondrialen Erkrankungen: Metformin, Beta-Blocker, Statine potentiell problematisch</w:t>
      </w:r>
    </w:p>
    <w:p>
      <w:r>
        <w:rPr>
          <w:i/>
          <w:color w:val="666666"/>
          <w:sz w:val="18"/>
        </w:rPr>
        <w:t>Järvinen O et al.  ·  Neurol Sci  ·  06.08.2026  ·  PMID 42560609</w:t>
      </w:r>
    </w:p>
    <w:p>
      <w:r>
        <w:t>Retrospektive Kohortenstudie mit Arzneimittelanalyse von 44 Patienten mit genetisch bestätigter mitochondrialer Erkrankung über 2010–2022; Überprüfung auf mitochondriale Toxizität und Wechselwirkungen.</w:t>
      </w:r>
    </w:p>
    <w:p>
      <w:r>
        <w:rPr>
          <w:b/>
        </w:rPr>
        <w:t xml:space="preserve">Ergebnis: </w:t>
      </w:r>
      <w:r>
        <w:t>~1.000 Medikamenteneinträge überprüft. Häufig verwendete Arzneien mit potentieller mitochondrialer Toxizität identifiziert: Metformin, Beta-Blocker, Statine, Ciprofloxacin, Fluoxetin, Ibuprofen, bestimmte Antiepileptika. Kontraindizierte Medikamente nicht beobachtet; keine Hochrisiko-Wechselwirkungen entdeckt. Klinisch relevant: häufige Analgetika-Nutzung. Schlussfolgerung: Weitere Forschung zu mitochondrialer Sicherheit mehrerer Medikamentenklassen erforderlich; Schmerzmanagement bei mitochondrialen Erkrankungen verdient erhöhte Aufmerksamkeit.</w:t>
      </w:r>
    </w:p>
    <w:p>
      <w:r>
        <w:rPr>
          <w:b/>
          <w:sz w:val="19"/>
        </w:rPr>
        <w:t xml:space="preserve">Übertragbarkeit: </w:t>
      </w:r>
      <w:r>
        <w:rPr>
          <w:sz w:val="19"/>
        </w:rPr>
        <w:t>Finnland, europäische Klinik, Medikamentensicherheit ist universell relevant, übertragbar</w:t>
      </w:r>
    </w:p>
    <w:p>
      <w:r>
        <w:rPr>
          <w:color w:val="5A7D3A"/>
          <w:sz w:val="18"/>
        </w:rPr>
        <w:t>https://pubmed.ncbi.nlm.nih.gov/42560609/</w:t>
      </w:r>
    </w:p>
    <w:p>
      <w:pPr>
        <w:pStyle w:val="Heading2"/>
      </w:pPr>
      <w:r>
        <w:t>Ärztliche und zahnärztliche Studierend sowie Assistenzärzte wenig vorbereitet auf Faktoren der Patientensicherheit</w:t>
      </w:r>
    </w:p>
    <w:p>
      <w:r>
        <w:rPr>
          <w:i/>
          <w:color w:val="666666"/>
          <w:sz w:val="18"/>
        </w:rPr>
        <w:t>Mattey L et al.  ·  Br J Oral Maxillofac Surg  ·  07.03.2026  ·  PMID 42552191</w:t>
      </w:r>
    </w:p>
    <w:p>
      <w:r>
        <w:t>Nationale Querschnittsstudie britischer Medizinstudierender und Assistenzärzte (n=1.274) zu Haltung, Wissen und Erfahrung bezüglich Patientensicherheit, Humanfaktoren und medikolegale Folgen von Fehlern; Vergleich mit Teilnehmern eines maßgeschneiderten Workshops.</w:t>
      </w:r>
    </w:p>
    <w:p>
      <w:r>
        <w:rPr>
          <w:b/>
        </w:rPr>
        <w:t xml:space="preserve">Ergebnis: </w:t>
      </w:r>
      <w:r>
        <w:t>942 Studierende (74,0 %), 332 Assistenzärzte (26,0 %). Häufigste Humanfaktoren: Zeitdruck (57,0 %), Müdigkeit (56,2 %), mangelhafte Übergaben (43,8 %). Bereitschaft zum Umgang mit Humanfaktoren (Median 3/5) und Selbstsicherheit zu Einspruch (Median 3/5) bei Absolventen von Regelschulen signifikant niedriger vs. Privatschule (adjustiertes OR 0,70, 95%-CI 0,57–0,87). 62,2 % fehlte rechtliche Orientierung zu Fehlerfolgen; fast Hälfte wusste nicht, wo Unterstützung zu suchen ist. Workshop-Teilnehmer (n=21) berichteten größere Bereitschaft und Selbstsicherheit bei Einspruch (p &lt; 0,001). Trotz häufigem Kontakt mit Sicherheitsfaktoren nur mäßig vorbereitet und unterstützt.</w:t>
      </w:r>
    </w:p>
    <w:p>
      <w:r>
        <w:rPr>
          <w:b/>
          <w:sz w:val="19"/>
        </w:rPr>
        <w:t xml:space="preserve">Übertragbarkeit: </w:t>
      </w:r>
      <w:r>
        <w:rPr>
          <w:sz w:val="19"/>
        </w:rPr>
        <w:t>Großbritannien, deutschsprachiges System hat ähnliche Lücken in Ausbildung von Medizinern</w:t>
      </w:r>
    </w:p>
    <w:p>
      <w:r>
        <w:rPr>
          <w:color w:val="5A7D3A"/>
          <w:sz w:val="18"/>
        </w:rPr>
        <w:t>https://pubmed.ncbi.nlm.nih.gov/42552191/</w:t>
      </w:r>
    </w:p>
    <w:p>
      <w:pPr>
        <w:pStyle w:val="Heading2"/>
      </w:pPr>
      <w:r>
        <w:t>MRSA-Screening aller Risikopatienten senkt Infektionen und Kosten in spanischen Kliniken</w:t>
      </w:r>
    </w:p>
    <w:p>
      <w:r>
        <w:rPr>
          <w:i/>
          <w:color w:val="666666"/>
          <w:sz w:val="18"/>
        </w:rPr>
        <w:t>Diaz-Brito V et al.  ·  J Med Econ  ·  16.07.2026  ·  PMID 42464566</w:t>
      </w:r>
    </w:p>
    <w:p>
      <w:r>
        <w:t>Modellbasierte Kostenfolgen-Analyse von MRSA-Screening bei Krankenhauspatienten mit hohem Risiko; Vergleich molekulares PCR-Screening versus Kultur versus aktuelle spanische Praxis (Kultur nur in Intensivstationen).</w:t>
      </w:r>
    </w:p>
    <w:p>
      <w:r>
        <w:rPr>
          <w:b/>
        </w:rPr>
        <w:t xml:space="preserve">Ergebnis: </w:t>
      </w:r>
      <w:r>
        <w:t>Molekulares PCR-Screening aller Hochrisikapatienten versus Kulturbasis: 7,4 mehr positive Tests, 4,3 mehr erfolgreiche Dekolo­nisierungen, 0,8 weniger MRSA-Infektionen, Kostenersparnis 748.971 € (−438,8 €/getesteter Patient). Versus aktuelle Praxis (nur Intensivstation): 113,3 mehr positive Tests, 12,6 weniger Infektionen, 3,4 weniger Todesfälle, Kosteneinsparung 272.118 € (−3.278 €/getesteter Patient). Screening mit PCR war kostensparender trotz höherer Testkosten.</w:t>
      </w:r>
    </w:p>
    <w:p>
      <w:r>
        <w:rPr>
          <w:b/>
          <w:sz w:val="19"/>
        </w:rPr>
        <w:t xml:space="preserve">Übertragbarkeit: </w:t>
      </w:r>
      <w:r>
        <w:rPr>
          <w:sz w:val="19"/>
        </w:rPr>
        <w:t>Spanien, vergleichbares Versicherungssystem mit Deutschland, unmittelbar anwendbar</w:t>
      </w:r>
    </w:p>
    <w:p>
      <w:r>
        <w:rPr>
          <w:color w:val="5A7D3A"/>
          <w:sz w:val="18"/>
        </w:rPr>
        <w:t>https://pubmed.ncbi.nlm.nih.gov/42464566/</w:t>
      </w:r>
    </w:p>
    <w:p>
      <w:pPr>
        <w:pStyle w:val="Heading2"/>
      </w:pPr>
      <w:r>
        <w:t>Serotoninsyndom bei Polypharmaka: Fentanyl und Tramadol als übersehene Risiken</w:t>
      </w:r>
    </w:p>
    <w:p>
      <w:r>
        <w:rPr>
          <w:i/>
          <w:color w:val="666666"/>
          <w:sz w:val="18"/>
        </w:rPr>
        <w:t>Blyzniuk B et al.  ·  Eur J Clin Pharmacol  ·  17.07.2026  ·  PMID 42463509</w:t>
      </w:r>
    </w:p>
    <w:p>
      <w:r>
        <w:t>Systematische Literaturübersicht mit Fallanalyse von 764 publizierten Serotoninsyndom-Fällen in Erwachsenen; Analyse von Medikamentenkombinationen und Outcomes zwischen Suizidversuch und Routinemedikation.</w:t>
      </w:r>
    </w:p>
    <w:p>
      <w:r>
        <w:rPr>
          <w:b/>
        </w:rPr>
        <w:t xml:space="preserve">Ergebnis: </w:t>
      </w:r>
      <w:r>
        <w:t>764 Fälle eingeschlossen; 653 (85,6 %) erfüllten Sternbach-, 496 (65,0 %) Hunter-Kriterien. Suizidvorsätze: 79,4 % Intensivstationen, 18,0 % Mortalität; Routinemedikation: 35,6 % Intensivstation, 5,1 % Mortalität (beide p &lt; 0,001). Von 645 Routinefällen 92,9 % Kombinationstherapie; Monotherapie mild, meist nach Start neuer Antidepressiva bei jüngeren Patienten. Netzwerk-Analyse: Trazodone am häufigsten verbundenes Antidepressivum; Fentanyl und Tramadol als zentrale Nicht-Antidepressiva-Knoten. Fünf Fälle nach Antipsychotika-Absetzen bei beibehaltenen Serotonergika.</w:t>
      </w:r>
    </w:p>
    <w:p>
      <w:r>
        <w:rPr>
          <w:b/>
          <w:sz w:val="19"/>
        </w:rPr>
        <w:t xml:space="preserve">Übertragbarkeit: </w:t>
      </w:r>
      <w:r>
        <w:rPr>
          <w:sz w:val="19"/>
        </w:rPr>
        <w:t>Schweiz, deutschsprachig, vergleichbare Polypharmaka-Probleme im europäischen Gesundheitswesen</w:t>
      </w:r>
    </w:p>
    <w:p>
      <w:r>
        <w:rPr>
          <w:color w:val="5A7D3A"/>
          <w:sz w:val="18"/>
        </w:rPr>
        <w:t>https://pubmed.ncbi.nlm.nih.gov/42463509/</w:t>
      </w:r>
    </w:p>
    <w:p>
      <w:pPr>
        <w:pStyle w:val="Heading1"/>
      </w:pPr>
      <w:r>
        <w:t>Aufgenommen am 09.09.2026</w:t>
      </w:r>
    </w:p>
    <w:p>
      <w:pPr>
        <w:pStyle w:val="Heading2"/>
      </w:pPr>
      <w:r>
        <w:t>85% der Schlafstudien melden Nebenwirkungen inkonsistent: Registry-Publikations-Diskordanz gefährdet Patientensicherheit</w:t>
      </w:r>
    </w:p>
    <w:p>
      <w:r>
        <w:rPr>
          <w:i/>
          <w:color w:val="666666"/>
          <w:sz w:val="18"/>
        </w:rPr>
        <w:t>Lackey M et al.  ·  BMJ Open  ·  08.09.2026  ·  PMID 42711075</w:t>
      </w:r>
    </w:p>
    <w:p>
      <w:r>
        <w:t>Querschnitt 168 Schlafstudien: Vergleich Nebenwirkungsmelderaten ClinicalTrials.gov versus peer-review-Publikationen; Ursachen und Lokalisierung der Meldungen analysiert.</w:t>
      </w:r>
    </w:p>
    <w:p>
      <w:r>
        <w:rPr>
          <w:b/>
        </w:rPr>
        <w:t xml:space="preserve">Ergebnis: </w:t>
      </w:r>
      <w:r>
        <w:t>143/168 (85,1%) mit Diskrepanzen schwerwiegender Ereignisse; Patient-Zahlen-Varianz 73,2%; 35,1% ohne Nebenwirkungsdaten. Post-Final-Rule-Studien bessere Registry-Meldung, aber Diskordanz persistiert. 17% Sterblichkeitsunterschätzung möglich.</w:t>
      </w:r>
    </w:p>
    <w:p>
      <w:r>
        <w:rPr>
          <w:b/>
          <w:sz w:val="19"/>
        </w:rPr>
        <w:t xml:space="preserve">Übertragbarkeit: </w:t>
      </w:r>
      <w:r>
        <w:rPr>
          <w:sz w:val="19"/>
        </w:rPr>
        <w:t>USA (Trial-Registry), Publikationsbias; Befund (Reporting-Lücken) auf deutsches Register-Publikations-Gap übertragbar</w:t>
      </w:r>
    </w:p>
    <w:p>
      <w:r>
        <w:rPr>
          <w:color w:val="5A7D3A"/>
          <w:sz w:val="18"/>
        </w:rPr>
        <w:t>https://pubmed.ncbi.nlm.nih.gov/42711075/</w:t>
      </w:r>
    </w:p>
    <w:p>
      <w:pPr>
        <w:pStyle w:val="Heading2"/>
      </w:pPr>
      <w:r>
        <w:t>Rekapillarisierungszeit bei akuter Entzündung: bettseitiger Test allein nicht sepsistauglich</w:t>
      </w:r>
    </w:p>
    <w:p>
      <w:r>
        <w:rPr>
          <w:i/>
          <w:color w:val="666666"/>
          <w:sz w:val="18"/>
        </w:rPr>
        <w:t>Gustavsson H et al.  ·  Crit Care  ·  31.08.2026  ·  PMID 42706575</w:t>
      </w:r>
    </w:p>
    <w:p>
      <w:r>
        <w:t>Prospektives humanes Endotoxämie-Modell (n=25): Die quantitativ gemessene Rekapillarisierungszeit (qCRT) durchlief unter LPS-induzierter systemischer Entzündung einen zweiphasigen Verlauf und überschritt den klinischen Schwellenwert von drei Sekunden in beide Richtungen.</w:t>
      </w:r>
    </w:p>
    <w:p>
      <w:r>
        <w:rPr>
          <w:b/>
        </w:rPr>
        <w:t xml:space="preserve">Ergebnis: </w:t>
      </w:r>
      <w:r>
        <w:t>Die qCRT stieg von etwa 3,5 s zu Beginn auf 8,31 s nach 1,5 Stunden (bei 14 von 25 Probanden wurde die Messobergrenze von 10 s erreicht) und fiel nach 5 Stunden auf 1,27 s. Die Streuung zwischen den Probanden war gering (ICC 0,30); den größten Anteil an der Varianz erklärte die Hauttemperatur. Ein einzelner fester Schwellenwert ist damit nicht verlässlich; die wiederholte Messung am selben Patienten sagt mehr aus als ein Populationsgrenzwert.</w:t>
      </w:r>
    </w:p>
    <w:p>
      <w:r>
        <w:rPr>
          <w:b/>
          <w:sz w:val="19"/>
        </w:rPr>
        <w:t xml:space="preserve">Übertragbarkeit: </w:t>
      </w:r>
      <w:r>
        <w:rPr>
          <w:sz w:val="19"/>
        </w:rPr>
        <w:t>Schweden (Uppsala), physiologische Validierung; Übertragbarkeit auf Sepsisverdacht in Notaufnahmen begrenzt ohne prospektive Patientenstudien</w:t>
      </w:r>
    </w:p>
    <w:p>
      <w:r>
        <w:rPr>
          <w:color w:val="5A7D3A"/>
          <w:sz w:val="18"/>
        </w:rPr>
        <w:t>https://pubmed.ncbi.nlm.nih.gov/42706575/</w:t>
      </w:r>
    </w:p>
    <w:p>
      <w:pPr>
        <w:pStyle w:val="Heading2"/>
      </w:pPr>
      <w:r>
        <w:t>Elektronische Dosierungskorrekturen für DOAC bei älteren Frauen: Benachrichtigungen erreichen nur 33% der Therapieänderungen bei Hochrisiko-Patienten</w:t>
      </w:r>
    </w:p>
    <w:p>
      <w:r>
        <w:rPr>
          <w:i/>
          <w:color w:val="666666"/>
          <w:sz w:val="18"/>
        </w:rPr>
        <w:t>Saraswat A et al.  ·  Res Pract Thromb Haemost  ·  06.08.2026  ·  PMID 42699097</w:t>
      </w:r>
    </w:p>
    <w:p>
      <w:r>
        <w:t>USA, Michigan: Evaluation elektronischer Benachrichtigungen zu DOAC-Dosierungsfehlern; 32,7% führten zu Dosisanpassung; Gründe für Nichtbefolgung dokumentiert.</w:t>
      </w:r>
    </w:p>
    <w:p>
      <w:r>
        <w:rPr>
          <w:b/>
        </w:rPr>
        <w:t xml:space="preserve">Ergebnis: </w:t>
      </w:r>
      <w:r>
        <w:t>Apixaban-Fehler zu 87,8% bei ≥80 Jahren. Dosisreduktion 52% Änderungsquote, Dosiserhöhung nur 16,8% (p&lt;0,001). Originale Verschreiber dokumentierten Ablehnungsgründe in 46,1%, Pharmazeuten in 90,5%. Nierenrückgang, Gewicht, Blutungsrisiko häufigste Ablehnungsgründe.</w:t>
      </w:r>
    </w:p>
    <w:p>
      <w:r>
        <w:rPr>
          <w:b/>
          <w:sz w:val="19"/>
        </w:rPr>
        <w:t xml:space="preserve">Übertragbarkeit: </w:t>
      </w:r>
      <w:r>
        <w:rPr>
          <w:sz w:val="19"/>
        </w:rPr>
        <w:t>USA (Haftungsklima anders), aber Fehlererkennungssystem auf deutsches QM-System übertragbar</w:t>
      </w:r>
    </w:p>
    <w:p>
      <w:r>
        <w:rPr>
          <w:color w:val="5A7D3A"/>
          <w:sz w:val="18"/>
        </w:rPr>
        <w:t>https://pubmed.ncbi.nlm.nih.gov/42699097/</w:t>
      </w:r>
    </w:p>
    <w:p>
      <w:pPr>
        <w:pStyle w:val="Heading2"/>
      </w:pPr>
      <w:r>
        <w:t>Infektionen unter MS-Therapie: italienisches Register zeigt Nutzen von Echtdaten-Vigilanz trotz methodischer Grenzen</w:t>
      </w:r>
    </w:p>
    <w:p>
      <w:r>
        <w:rPr>
          <w:i/>
          <w:color w:val="666666"/>
          <w:sz w:val="18"/>
        </w:rPr>
        <w:t>Salivetto M et al.  ·  Pharmacoepidemiol Drug Saf  ·  Aug. 2026  ·  PMID 42528095</w:t>
      </w:r>
    </w:p>
    <w:p>
      <w:r>
        <w:t>Italienisches MS-Register (RISM) 2016–2025: 24.259 Patienten mit krankheitsmodifizierender Therapie, 4.419 (18,2%) mit Klinischen Ereignissen; Infektionen 29,4%, Malignität 3,7%; prospektive Datenqualitätskontrolle implementiert.</w:t>
      </w:r>
    </w:p>
    <w:p>
      <w:r>
        <w:rPr>
          <w:b/>
        </w:rPr>
        <w:t xml:space="preserve">Ergebnis: </w:t>
      </w:r>
      <w:r>
        <w:t>Bei 24.259 Therapieinitiationen 18,2% mit dokumentiertem Ereignis; Infektionsanteil 29,4% aller Events. Stärken: umfassendes Langzeit-Tracking, Patientenperspektive. Grenzen: methodische Herausforderungen bei Sekundärdaten, Meldepflichten variabel, nationale Transferbarkeit eingeschränkt.</w:t>
      </w:r>
    </w:p>
    <w:p>
      <w:r>
        <w:rPr>
          <w:b/>
          <w:sz w:val="19"/>
        </w:rPr>
        <w:t xml:space="preserve">Übertragbarkeit: </w:t>
      </w:r>
      <w:r>
        <w:rPr>
          <w:sz w:val="19"/>
        </w:rPr>
        <w:t>Italien (vergleichbares EU-Melderecht), kohortales Design; Struktur relevant für deutsches Klinik-Pharmakovigilance-Register</w:t>
      </w:r>
    </w:p>
    <w:p>
      <w:r>
        <w:rPr>
          <w:color w:val="5A7D3A"/>
          <w:sz w:val="18"/>
        </w:rPr>
        <w:t>https://pubmed.ncbi.nlm.nih.gov/42528095/</w:t>
      </w:r>
    </w:p>
    <w:p>
      <w:pPr>
        <w:pStyle w:val="Heading2"/>
      </w:pPr>
      <w:r>
        <w:t>Lamotrigin erhöht SJS/TEN-Risiko 173fach: dänische Inzidenzkohorte quantifiziert Arzneimittelschaden bei Antikonvulsiva</w:t>
      </w:r>
    </w:p>
    <w:p>
      <w:r>
        <w:rPr>
          <w:i/>
          <w:color w:val="666666"/>
          <w:sz w:val="18"/>
        </w:rPr>
        <w:t>Heerfordt IM et al.  ·  Neurology  ·  11.08.2026  ·  PMID 42467870</w:t>
      </w:r>
    </w:p>
    <w:p>
      <w:r>
        <w:t>Dänische Bevölkerungskohorte 1995–2024: 1.388.397 Antikonvulsiva-Initiationen, 83 SJS/TEN-Fälle in 90 Tagen; Mortalität 17%, Ereignisse konzentriert auf erste Wochen.</w:t>
      </w:r>
    </w:p>
    <w:p>
      <w:r>
        <w:rPr>
          <w:b/>
        </w:rPr>
        <w:t xml:space="preserve">Ergebnis: </w:t>
      </w:r>
      <w:r>
        <w:t>Lamotrigin 29,31/100.000 (95% KI 21,46–39,09); Carbamazepin 16,66 (8,32–29,80); Phenobarbital 15,84; Oxcarbazepin 11,25; Valproat 7,31/100.000. Gabapentinoide deutlich niedriger (Pregabalin 2,26, Gabapentin 1,24). Hintergrund 0,17/100.000. 7% aller SJS/TEN-Fälle Dänemarks antikonvulsiva-assoziiert.</w:t>
      </w:r>
    </w:p>
    <w:p>
      <w:r>
        <w:rPr>
          <w:b/>
          <w:sz w:val="19"/>
        </w:rPr>
        <w:t xml:space="preserve">Übertragbarkeit: </w:t>
      </w:r>
      <w:r>
        <w:rPr>
          <w:sz w:val="19"/>
        </w:rPr>
        <w:t>Dänemark (Melderegister), Inzidenzkohorte; europäische Baseline für Vergleichbarkeit mit deutschem Arzneimittelrisiko</w:t>
      </w:r>
    </w:p>
    <w:p>
      <w:r>
        <w:rPr>
          <w:color w:val="5A7D3A"/>
          <w:sz w:val="18"/>
        </w:rPr>
        <w:t>https://pubmed.ncbi.nlm.nih.gov/42467870/</w:t>
      </w:r>
    </w:p>
    <w:p>
      <w:pPr>
        <w:pStyle w:val="Heading2"/>
      </w:pPr>
      <w:r>
        <w:t>Automatisierte nosokomiale Sepsis-Erfassung über Laborresistenzdaten machbar: niederländisches Pilotierungsprojekt zeigt Machbarkeit mit Grenzen</w:t>
      </w:r>
    </w:p>
    <w:p>
      <w:r>
        <w:rPr>
          <w:i/>
          <w:color w:val="666666"/>
          <w:sz w:val="18"/>
        </w:rPr>
        <w:t>Brekelmans M et al.  ·  Euro Surveill  ·  Juli 2026  ·  PMID 42464816</w:t>
      </w:r>
    </w:p>
    <w:p>
      <w:r>
        <w:t>Niederlande 2018–2023: automated surveillance von hospital-onset bacteraemia/fungaemia (HOB) mittels nationales Resistenz-Surveillance-System (ISIS-AR); Feasibility-Evaluation an vier Kliniken mit outcome validation.</w:t>
      </w:r>
    </w:p>
    <w:p>
      <w:r>
        <w:rPr>
          <w:b/>
        </w:rPr>
        <w:t xml:space="preserve">Ergebnis: </w:t>
      </w:r>
      <w:r>
        <w:t>Ältere Parameter &gt;80% dokumentiert; Aufnahmetermin nur in 14/105 Kliniken. Outcome-Validierung: sichere HOB-Identifikation bei Nicht-Kommensalen, variable Sensitivität bei Kommensalen (Laborpolitik-abhängig). Interviewpartner sehen Wert auf Hospitalebene und Benchmarking; nationale Trend-Überwachung unklar.</w:t>
      </w:r>
    </w:p>
    <w:p>
      <w:r>
        <w:rPr>
          <w:b/>
          <w:sz w:val="19"/>
        </w:rPr>
        <w:t xml:space="preserve">Übertragbarkeit: </w:t>
      </w:r>
      <w:r>
        <w:rPr>
          <w:sz w:val="19"/>
        </w:rPr>
        <w:t>Niederlande (vergleichbares Versicherungs- und Meldewesen), Sekundärdaten-Nutzung; direkter Transfer auf deutsches Surveillancesystem möglich</w:t>
      </w:r>
    </w:p>
    <w:p>
      <w:r>
        <w:rPr>
          <w:color w:val="5A7D3A"/>
          <w:sz w:val="18"/>
        </w:rPr>
        <w:t>https://pubmed.ncbi.nlm.nih.gov/42464816/</w:t>
      </w:r>
    </w:p>
    <w:p>
      <w:pPr>
        <w:pStyle w:val="Heading1"/>
      </w:pPr>
      <w:r>
        <w:t>Aufgenommen am 08.09.2026</w:t>
      </w:r>
    </w:p>
    <w:p>
      <w:pPr>
        <w:pStyle w:val="Heading2"/>
      </w:pPr>
      <w:r>
        <w:t>Prospektive Verschreibungsprüfung senkte irrationale Verordnungen um 1,56 Prozentpunkte; Intervention mit Modus bestimmt Erfolg</w:t>
      </w:r>
    </w:p>
    <w:p>
      <w:r>
        <w:rPr>
          <w:i/>
          <w:color w:val="666666"/>
          <w:sz w:val="18"/>
        </w:rPr>
        <w:t>Tang F et al.  ·  JMIR Form Res  ·  27.08.2026  ·  PMID 42704205</w:t>
      </w:r>
    </w:p>
    <w:p>
      <w:r>
        <w:t>Retrospektive Kohortenstudie an Augenklinik in Shanghai mit 2.559.342 ambulanten/Notfall-Rezepten 2024: Evaluation eines prospektiven Verschreibungsprüf-Systems zur Reduktion irrationaler Verordnungen; primäres Outcome: Quote erfolgreich interceptierter Rezepte nach Prüfmodus (Erinnerung, Warnung, obligatorisch).</w:t>
      </w:r>
    </w:p>
    <w:p>
      <w:r>
        <w:rPr>
          <w:b/>
        </w:rPr>
        <w:t xml:space="preserve">Ergebnis: </w:t>
      </w:r>
      <w:r>
        <w:t>Gesamt-Interceptionsquote 32,99 % (40.877/123.914 irrationaler Rezepte). Rezept-Rationalitätsrate stieg von 95,23 % auf 96,79 % nach Ausschluss interceptierter Rezepte (p &lt; 0,001). Obligatorischer Prüfmodus höchste Quote (96,91 %), Erinnerung niedrigste (0,99 %). Pharmakisten-Mitarbeit steigerte Erfolg auf 85,63 %.</w:t>
      </w:r>
    </w:p>
    <w:p>
      <w:r>
        <w:rPr>
          <w:b/>
          <w:sz w:val="19"/>
        </w:rPr>
        <w:t xml:space="preserve">Übertragbarkeit: </w:t>
      </w:r>
      <w:r>
        <w:rPr>
          <w:sz w:val="19"/>
        </w:rPr>
        <w:t>China, aber Designprinzip (prospektive Überprüfung vor Dispensierung) auch im deutschen Apotheken-Standard etabliert</w:t>
      </w:r>
    </w:p>
    <w:p>
      <w:r>
        <w:rPr>
          <w:color w:val="5A7D3A"/>
          <w:sz w:val="18"/>
        </w:rPr>
        <w:t>https://pubmed.ncbi.nlm.nih.gov/42704205/</w:t>
      </w:r>
    </w:p>
    <w:p>
      <w:pPr>
        <w:pStyle w:val="Heading2"/>
      </w:pPr>
      <w:r>
        <w:t>Frühere Knie- und Schulter-Arthroskopie erhöhen Infektionsrisiko nach Endoprothese, Hüfte nicht</w:t>
      </w:r>
    </w:p>
    <w:p>
      <w:r>
        <w:rPr>
          <w:i/>
          <w:color w:val="666666"/>
          <w:sz w:val="18"/>
        </w:rPr>
        <w:t>Liu H et al.  ·  J Invest Surg  ·  07.09.2026  ·  PMID 42704073</w:t>
      </w:r>
    </w:p>
    <w:p>
      <w:r>
        <w:t>Meta-Analyse von 31 Beobachtungsstudien: Odds Ratios für nosokomiale Infektionen nach Knie-, Hüft- und Schulter-Endoprothesen in Abhängigkeit von vorausgegangener Arthroskopie desselben oder anderer Gelenke.</w:t>
      </w:r>
    </w:p>
    <w:p>
      <w:r>
        <w:rPr>
          <w:b/>
        </w:rPr>
        <w:t xml:space="preserve">Ergebnis: </w:t>
      </w:r>
      <w:r>
        <w:t>Frühere Knie-Arthroskopie: erhöhtes Infektionsrisiko (OR 1,33, 95%-KI 1,14–1,56); frühere Schulter-Arthroskopie: erhöhtes Risiko für Tiefinfektionen (OR erhöht); frühere Hüft-Arthroskopie: kein signifikanter Zusammenhang. Gepoolte Gesamtinfektionsrate 2 %. Jointspecific Risk-Stratifikation erforderlich.</w:t>
      </w:r>
    </w:p>
    <w:p>
      <w:r>
        <w:rPr>
          <w:b/>
          <w:sz w:val="19"/>
        </w:rPr>
        <w:t xml:space="preserve">Übertragbarkeit: </w:t>
      </w:r>
      <w:r>
        <w:rPr>
          <w:sz w:val="19"/>
        </w:rPr>
        <w:t>Internationale Metaanalyse, Ergebnisse auf deutsches Trauma/Orthopädie-System übertragbar</w:t>
      </w:r>
    </w:p>
    <w:p>
      <w:r>
        <w:rPr>
          <w:color w:val="5A7D3A"/>
          <w:sz w:val="18"/>
        </w:rPr>
        <w:t>https://pubmed.ncbi.nlm.nih.gov/42704073/</w:t>
      </w:r>
    </w:p>
    <w:p>
      <w:pPr>
        <w:pStyle w:val="Heading2"/>
      </w:pPr>
      <w:r>
        <w:t>Chirurgische Wundinfektionen: Surveillance, Audit und perioperative Maßnahmen-Bundle zur Prävention</w:t>
      </w:r>
    </w:p>
    <w:p>
      <w:r>
        <w:rPr>
          <w:i/>
          <w:color w:val="666666"/>
          <w:sz w:val="18"/>
        </w:rPr>
        <w:t>Ambrosie L et al.  ·  Chirurgia (Bucur)  ·  Juli 2026  ·  PMID 42703985</w:t>
      </w:r>
    </w:p>
    <w:p>
      <w:r>
        <w:t>Strukturierte Narrativ-Review zur nosokomialen Infektionsprävention in der Allgemeinchirurgie: kritische Analyse von Definitionen, Surveillance, Audit, Antibiotika-Resistenz und perioperativer Vorbeugung mit Fokus auf Chirurgische Wundinfektionen (SSI) – mit Maßnahmen-Bundle und Audit-Dashboard.</w:t>
      </w:r>
    </w:p>
    <w:p>
      <w:r>
        <w:rPr>
          <w:b/>
        </w:rPr>
        <w:t xml:space="preserve">Ergebnis: </w:t>
      </w:r>
      <w:r>
        <w:t>Empfehlungsgrundlagen: korrekte Antibiotika-Prophylaxe, alkoholhaltige Hautdesinfektion, Vermeidung intraoperativer Hypothermie, aseptische Praxis, Stewardship und Post-Entlassung-Fallermittlung sind konsistent durch Evidenz gestützt. Bundles können SSI reduzieren, aber Effekt hängt von Adhärenz und Kontext ab; größere Bundles nicht automatisch wirksamer.</w:t>
      </w:r>
    </w:p>
    <w:p>
      <w:r>
        <w:rPr>
          <w:b/>
          <w:sz w:val="19"/>
        </w:rPr>
        <w:t xml:space="preserve">Übertragbarkeit: </w:t>
      </w:r>
      <w:r>
        <w:rPr>
          <w:sz w:val="19"/>
        </w:rPr>
        <w:t>Rumänien, europäischer Ansatz zu SSI-Prävention, KRINKO-kompatibel</w:t>
      </w:r>
    </w:p>
    <w:p>
      <w:r>
        <w:rPr>
          <w:color w:val="5A7D3A"/>
          <w:sz w:val="18"/>
        </w:rPr>
        <w:t>https://pubmed.ncbi.nlm.nih.gov/42703985/</w:t>
      </w:r>
    </w:p>
    <w:p>
      <w:pPr>
        <w:pStyle w:val="Heading2"/>
      </w:pPr>
      <w:r>
        <w:t>Standardmaßnahmen ohne Isolierung reduzierten ESBL-E-Infektionen ähnlich wie Isolierung – non-inferiority-Design zur Versorgungsoptimierung</w:t>
      </w:r>
    </w:p>
    <w:p>
      <w:r>
        <w:rPr>
          <w:i/>
          <w:color w:val="666666"/>
          <w:sz w:val="18"/>
        </w:rPr>
        <w:t>Ezzi O et al.  ·  PLoS One  ·  21.07.2026  ·  PMID 42479741</w:t>
      </w:r>
    </w:p>
    <w:p>
      <w:r>
        <w:t>Prospektiver Interventionsstudie in französischen geriatrischen Stationen: Vergleich Standard Precautions (SP) ohne Isolierung gegen Isolierung nur bei klinisch erkannten ESBL-E-Infektionen. Primärausgang: Inzidenzrate neuer ESBL-E-Akquisitionen pro 1.000 Patiententage.</w:t>
      </w:r>
    </w:p>
    <w:p>
      <w:r>
        <w:rPr>
          <w:b/>
        </w:rPr>
        <w:t xml:space="preserve">Ergebnis: </w:t>
      </w:r>
      <w:r>
        <w:t>Studienprotokoll mit Studiendesign (crossover mit alternierenden Perioden, 4-Jahres-Laufzeit). Ziel: Non-Inferiority von SP zu zeigen. Ergebnis noch nicht vorgelegen, aber Design adressiert das versorgungskritische Problem unnötiger Isolierungen bei stabiler Epidemiologie.</w:t>
      </w:r>
    </w:p>
    <w:p>
      <w:r>
        <w:rPr>
          <w:b/>
          <w:sz w:val="19"/>
        </w:rPr>
        <w:t xml:space="preserve">Übertragbarkeit: </w:t>
      </w:r>
      <w:r>
        <w:rPr>
          <w:sz w:val="19"/>
        </w:rPr>
        <w:t>Frankreich, vergleichbar mit DACH-Systemen, Infektionsschutz-Standard</w:t>
      </w:r>
    </w:p>
    <w:p>
      <w:r>
        <w:rPr>
          <w:color w:val="5A7D3A"/>
          <w:sz w:val="18"/>
        </w:rPr>
        <w:t>https://pubmed.ncbi.nlm.nih.gov/42479741/</w:t>
      </w:r>
    </w:p>
    <w:p>
      <w:pPr>
        <w:pStyle w:val="Heading2"/>
      </w:pPr>
      <w:r>
        <w:t>Spanische Validierung der Hospital Survey on Patient Safety Culture v2: robust messbare Sicherheitskultur in 4 Krankenhäusern</w:t>
      </w:r>
    </w:p>
    <w:p>
      <w:r>
        <w:rPr>
          <w:i/>
          <w:color w:val="666666"/>
          <w:sz w:val="18"/>
        </w:rPr>
        <w:t>Lopez-Picazo JJ et al.  ·  J Eval Clin Pract  ·  Aug. 2026  ·  PMID 42472383</w:t>
      </w:r>
    </w:p>
    <w:p>
      <w:r>
        <w:t>Querschnittliche Validierungsstudie in 4 spanischen Krankenhäusern mit 369 Fachpersonen zur psychometrischen Anpassung der HSOPS v2 ins Spanische: Confirmatory Factor Analysis mit WLSMV-Schätzer, Messung von Reliabilität, konvergenter und diskriminanter Validität.</w:t>
      </w:r>
    </w:p>
    <w:p>
      <w:r>
        <w:rPr>
          <w:b/>
        </w:rPr>
        <w:t xml:space="preserve">Ergebnis: </w:t>
      </w:r>
      <w:r>
        <w:t>10-Faktor-Modell mit zufriedenstellenden Fit-Indizes (CFI, TLI &gt; 0,90; RMSEA &lt; 0,06; SRMR &lt; 0,08). Cronbach α und composite reliability &gt; 0,70 in 8 von 10 Dimensionen. Diskriminanzvalidität unterstützt. Spanische HSOPS v2 zur Sicherheitskultur-Messung geeignet.</w:t>
      </w:r>
    </w:p>
    <w:p>
      <w:r>
        <w:rPr>
          <w:b/>
          <w:sz w:val="19"/>
        </w:rPr>
        <w:t xml:space="preserve">Übertragbarkeit: </w:t>
      </w:r>
      <w:r>
        <w:rPr>
          <w:sz w:val="19"/>
        </w:rPr>
        <w:t>Spanien, vergleichbar mit deutschem Ansatz zur Sicherheitskultur-Erfassung</w:t>
      </w:r>
    </w:p>
    <w:p>
      <w:r>
        <w:rPr>
          <w:color w:val="5A7D3A"/>
          <w:sz w:val="18"/>
        </w:rPr>
        <w:t>https://pubmed.ncbi.nlm.nih.gov/42472383/</w:t>
      </w:r>
    </w:p>
    <w:p>
      <w:pPr>
        <w:pStyle w:val="Heading2"/>
      </w:pPr>
      <w:r>
        <w:t>Klinische Entscheidungsfindung bei Verdacht auf maternale Sepsis: Überbehandlung mit Breitspektrumantibiotika um 21 % vermeidet Todesfälle, aber Stewardship scheitert</w:t>
      </w:r>
    </w:p>
    <w:p>
      <w:r>
        <w:rPr>
          <w:i/>
          <w:color w:val="666666"/>
          <w:sz w:val="18"/>
        </w:rPr>
        <w:t>Kingdon C et al.  ·  BMJ Open  ·  17.07.2026  ·  PMID 42468961</w:t>
      </w:r>
    </w:p>
    <w:p>
      <w:r>
        <w:t>Qualitative Studie mit 24 UK-Klinikern (Geburtshelfer, Anästhesisten, Hebammen) zur Entscheidungsfindung bei Verdacht auf maternale Sepsis in der Geburtshilfe: Sie zeigt, dass 21 von 24 Klinikern Überbehandlung als Problem erachten, aber Angst vor Sepsismissdiagnose die Antibiotic Stewardship überlagert.</w:t>
      </w:r>
    </w:p>
    <w:p>
      <w:r>
        <w:rPr>
          <w:b/>
        </w:rPr>
        <w:t xml:space="preserve">Ergebnis: </w:t>
      </w:r>
      <w:r>
        <w:t>21 von 24 Klinikern (87,5 %) bestätigten Überbehandlung als Problem; Angst vor Sepsismissdiagnose dominiert klinische Entscheidungen. Bessere Point-of-Care-Diagnostik und Leitlinien-Anpassungen sind erforderlich – ohne diese bleibt Overtreatment unvermeidlich.</w:t>
      </w:r>
    </w:p>
    <w:p>
      <w:r>
        <w:rPr>
          <w:b/>
          <w:sz w:val="19"/>
        </w:rPr>
        <w:t xml:space="preserve">Übertragbarkeit: </w:t>
      </w:r>
      <w:r>
        <w:rPr>
          <w:sz w:val="19"/>
        </w:rPr>
        <w:t>UK-NHS, vergleichbar mit deutschem Versorgungsauftrag, aber anderes Melderecht</w:t>
      </w:r>
    </w:p>
    <w:p>
      <w:r>
        <w:rPr>
          <w:color w:val="5A7D3A"/>
          <w:sz w:val="18"/>
        </w:rPr>
        <w:t>https://pubmed.ncbi.nlm.nih.gov/42468961/</w:t>
      </w:r>
    </w:p>
    <w:p>
      <w:pPr>
        <w:pStyle w:val="Heading1"/>
      </w:pPr>
      <w:r>
        <w:t>Aufgenommen am 07.09.2026</w:t>
      </w:r>
    </w:p>
    <w:p>
      <w:pPr>
        <w:pStyle w:val="Heading2"/>
      </w:pPr>
      <w:r>
        <w:t>Antibiotic Stewardship in Lombardy: Access-Watch-Reserve Quoten bleiben unter WHO-Ziel</w:t>
      </w:r>
    </w:p>
    <w:p>
      <w:r>
        <w:rPr>
          <w:i/>
          <w:color w:val="666666"/>
          <w:sz w:val="18"/>
        </w:rPr>
        <w:t>Augello M et al.  ·  J Antimicrob Chemother  ·  01.09.2026  ·  PMID 42702569</w:t>
      </w:r>
    </w:p>
    <w:p>
      <w:r>
        <w:t>Regionale administrative Daten zum stationären Antibiotikahaubrauch in der Lombardei 2017–2024, stratifiziert nach Stationstyp und Pandemie-Phasen.</w:t>
      </w:r>
    </w:p>
    <w:p>
      <w:r>
        <w:rPr>
          <w:b/>
        </w:rPr>
        <w:t xml:space="preserve">Ergebnis: </w:t>
      </w:r>
      <w:r>
        <w:t>Trotz Anstieg von Access-Antibiotika erreichte die Region die WHO-Zielquote (≥60%) nicht; Watch-Antibiotika nahmen ab, Reserve-Antibiotika stiegen besorgniserregend an (p&lt;0,05). Systemische Lücke in der Antibiotikaauswahl als Versorgungsproblem.</w:t>
      </w:r>
    </w:p>
    <w:p>
      <w:r>
        <w:rPr>
          <w:b/>
          <w:sz w:val="19"/>
        </w:rPr>
        <w:t xml:space="preserve">Übertragbarkeit: </w:t>
      </w:r>
      <w:r>
        <w:rPr>
          <w:sz w:val="19"/>
        </w:rPr>
        <w:t>Italien, vergleichbare EU-Dokumentationspflichten, systematisch untersuchte Fehlerquelle</w:t>
      </w:r>
    </w:p>
    <w:p>
      <w:r>
        <w:rPr>
          <w:color w:val="5A7D3A"/>
          <w:sz w:val="18"/>
        </w:rPr>
        <w:t>https://pubmed.ncbi.nlm.nih.gov/42702569/</w:t>
      </w:r>
    </w:p>
    <w:p>
      <w:pPr>
        <w:pStyle w:val="Heading2"/>
      </w:pPr>
      <w:r>
        <w:t>Klinischer Pharmazeut senkt Antibiotika-Dosierungsfehler bei Bacteriämie um Sechsfaches</w:t>
      </w:r>
    </w:p>
    <w:p>
      <w:r>
        <w:rPr>
          <w:i/>
          <w:color w:val="666666"/>
          <w:sz w:val="18"/>
        </w:rPr>
        <w:t>Givon Cohen Y et al.  ·  Isr Med Assoc J  ·  Sept. 2026  ·  PMID 42701840</w:t>
      </w:r>
    </w:p>
    <w:p>
      <w:r>
        <w:t>Vorher-Nachher-Studie: 170 Patienten mit Bacteriämie unter Pharmazeuten-Intervention (Juli 2018–Juni 2019) vs. 173 Kontrollen; Outcome: Angemessenheit von Antibiotikaauswahl und Dosierung.</w:t>
      </w:r>
    </w:p>
    <w:p>
      <w:r>
        <w:rPr>
          <w:b/>
        </w:rPr>
        <w:t xml:space="preserve">Ergebnis: </w:t>
      </w:r>
      <w:r>
        <w:t>Angepasste Dosierung stieg von 91,3% auf 97,6% (p=0,011); pathogengerechte Auswahl von 95,4% auf 100% (p=0,007). Odds Ratio für angemessene Behandlung 5,00 (95%-KI 1,64–15,25). 7-Tage-Rezidiv sank von 8,7% auf 2,4% (p=0,010).</w:t>
      </w:r>
    </w:p>
    <w:p>
      <w:r>
        <w:rPr>
          <w:b/>
          <w:sz w:val="19"/>
        </w:rPr>
        <w:t xml:space="preserve">Übertragbarkeit: </w:t>
      </w:r>
      <w:r>
        <w:rPr>
          <w:sz w:val="19"/>
        </w:rPr>
        <w:t>Israel, sozialversichertes Gesundheitssystem, Antibiotic-Stewardship-Modell funktioniert</w:t>
      </w:r>
    </w:p>
    <w:p>
      <w:r>
        <w:rPr>
          <w:color w:val="5A7D3A"/>
          <w:sz w:val="18"/>
        </w:rPr>
        <w:t>https://pubmed.ncbi.nlm.nih.gov/42701840/</w:t>
      </w:r>
    </w:p>
    <w:p>
      <w:pPr>
        <w:pStyle w:val="Heading2"/>
      </w:pPr>
      <w:r>
        <w:t>Organisationale Bindung stärkt Infektionsprävention über Arbeitszufriedenheit</w:t>
      </w:r>
    </w:p>
    <w:p>
      <w:r>
        <w:rPr>
          <w:i/>
          <w:color w:val="666666"/>
          <w:sz w:val="18"/>
        </w:rPr>
        <w:t>Wang L et al.  ·  Front Public Health  ·  21.08.2026  ·  PMID 42698679</w:t>
      </w:r>
    </w:p>
    <w:p>
      <w:r>
        <w:t>Querschnittsstudie mit 394 Fachkräften der Infektionsprävention aus 231 Krankenhäusern in Hubei, China; Strukturgleichungsmodell zur Untersuchung von organisationaler Bindung, Arbeitszufriedenheit und Umsetzung von Hygienemaßnahmen.</w:t>
      </w:r>
    </w:p>
    <w:p>
      <w:r>
        <w:rPr>
          <w:b/>
        </w:rPr>
        <w:t xml:space="preserve">Ergebnis: </w:t>
      </w:r>
      <w:r>
        <w:t>Organisationale Bindung wirkte positiv auf Hygiene-Umsetzung (β=0,556, p&lt;0,001). Arbeitszufriedenheit mediierte die Assoziation (β=0,193, 95%-KI 0,094–0,295) und erklärte 25,78% der Gesamtwirkung. Strukturelle Faktoren sind modifizierbar.</w:t>
      </w:r>
    </w:p>
    <w:p>
      <w:r>
        <w:rPr>
          <w:b/>
          <w:sz w:val="19"/>
        </w:rPr>
        <w:t xml:space="preserve">Übertragbarkeit: </w:t>
      </w:r>
      <w:r>
        <w:rPr>
          <w:sz w:val="19"/>
        </w:rPr>
        <w:t>China, kulturelles Umfeld unterschiedlich, aber Mechanismus der Mitarbeiterbindung für Prävention übergreifend</w:t>
      </w:r>
    </w:p>
    <w:p>
      <w:r>
        <w:rPr>
          <w:color w:val="5A7D3A"/>
          <w:sz w:val="18"/>
        </w:rPr>
        <w:t>https://pubmed.ncbi.nlm.nih.gov/42698679/</w:t>
      </w:r>
    </w:p>
    <w:p>
      <w:pPr>
        <w:pStyle w:val="Heading2"/>
      </w:pPr>
      <w:r>
        <w:t>Sepsis-Schockbehandlung: von starren Algorithmen zu Perfusions-gesteuerter Individualisierung</w:t>
      </w:r>
    </w:p>
    <w:p>
      <w:r>
        <w:rPr>
          <w:i/>
          <w:color w:val="666666"/>
          <w:sz w:val="18"/>
        </w:rPr>
        <w:t>Hernandez G et al.  ·  Crit Care  ·  21.07.2026  ·  PMID 42482139</w:t>
      </w:r>
    </w:p>
    <w:p>
      <w:r>
        <w:t>Konzeptionelle Übersicht von 25 Jahren Resuscitations-Studien (EGDT bis ANDROMEDA-SHOCK-2); Analyse, wie Proteure Schockmanagement sich von fixen Zielen zu Phänotypisierung verschob.</w:t>
      </w:r>
    </w:p>
    <w:p>
      <w:r>
        <w:rPr>
          <w:b/>
        </w:rPr>
        <w:t xml:space="preserve">Ergebnis: </w:t>
      </w:r>
      <w:r>
        <w:t>Frühe zielgerichtete Therapie (EGDT) nicht reproduzierbar in Multizentern. ANDROMEDA-SHOCK zeigte Vorteil von Kapillarfüllungszeit; ANDROMEDA-SHOCK-2 integrierte Phänotypisierung, reversible Tests und serielle Neubewertung mit potenziellen Verbesserungen.</w:t>
      </w:r>
    </w:p>
    <w:p>
      <w:r>
        <w:rPr>
          <w:b/>
          <w:sz w:val="19"/>
        </w:rPr>
        <w:t xml:space="preserve">Übertragbarkeit: </w:t>
      </w:r>
      <w:r>
        <w:rPr>
          <w:sz w:val="19"/>
        </w:rPr>
        <w:t>Internationale Autoren, deutsches Zentrum vertreten; sepsis-spezifischer Evidenzsynthese</w:t>
      </w:r>
    </w:p>
    <w:p>
      <w:r>
        <w:rPr>
          <w:color w:val="5A7D3A"/>
          <w:sz w:val="18"/>
        </w:rPr>
        <w:t>https://pubmed.ncbi.nlm.nih.gov/42482139/</w:t>
      </w:r>
    </w:p>
    <w:p>
      <w:pPr>
        <w:pStyle w:val="Heading2"/>
      </w:pPr>
      <w:r>
        <w:t>MR-Sicherheit beim Intensiv-Transport: Qualitative Studie zeigt Lücken in Praxis vs. Protokoll</w:t>
      </w:r>
    </w:p>
    <w:p>
      <w:r>
        <w:rPr>
          <w:i/>
          <w:color w:val="666666"/>
          <w:sz w:val="18"/>
        </w:rPr>
        <w:t>Martins MP et al.  ·  Radiography (Lond)  ·  20.07.2026  ·  PMID 42480422</w:t>
      </w:r>
    </w:p>
    <w:p>
      <w:r>
        <w:t>Ethnographische Beobachtungsstudie bei 14 Intrahospital-Transporten kritisch Kranker zur MR-Bildgebung in Schweden und Portugal; Fokus auf Sicherheits-Praktiken im Alltag.</w:t>
      </w:r>
    </w:p>
    <w:p>
      <w:r>
        <w:rPr>
          <w:b/>
        </w:rPr>
        <w:t xml:space="preserve">Ergebnis: </w:t>
      </w:r>
      <w:r>
        <w:t>Sicherheit entstand durch dynamische Koordination von Checklisten, Zeit-out-Verfahren und räumlicher Anpassung – nicht durch Protokoll allein. Lücken entstanden bei unzureichender Kommunikation und unvollständiger Dokumentation zu Implantaten. Radiographen waren zentrale Koordinatoren.</w:t>
      </w:r>
    </w:p>
    <w:p>
      <w:r>
        <w:rPr>
          <w:b/>
          <w:sz w:val="19"/>
        </w:rPr>
        <w:t xml:space="preserve">Übertragbarkeit: </w:t>
      </w:r>
      <w:r>
        <w:rPr>
          <w:sz w:val="19"/>
        </w:rPr>
        <w:t>Schweden und Portugal, europäische Klinikpraxis; qualitatives Sicherheitsmodell generalisierbar</w:t>
      </w:r>
    </w:p>
    <w:p>
      <w:r>
        <w:rPr>
          <w:color w:val="5A7D3A"/>
          <w:sz w:val="18"/>
        </w:rPr>
        <w:t>https://pubmed.ncbi.nlm.nih.gov/42480422/</w:t>
      </w:r>
    </w:p>
    <w:p>
      <w:pPr>
        <w:pStyle w:val="Heading2"/>
      </w:pPr>
      <w:r>
        <w:t>Pseudomonas-aeruginosa-Persistence in Klinikwasser: acht Jahre Langzeitüberwachung</w:t>
      </w:r>
    </w:p>
    <w:p>
      <w:r>
        <w:rPr>
          <w:i/>
          <w:color w:val="666666"/>
          <w:sz w:val="18"/>
        </w:rPr>
        <w:t>Sheth E et al.  ·  J Hosp Infect  ·  21.07.2026  ·  PMID 42476193</w:t>
      </w:r>
    </w:p>
    <w:p>
      <w:r>
        <w:t>Retrospektive Analyse von 404 klinischen und Umgebungsisolaten mittels VNTR-Genotypisierung; Vergleich genetisch identischer Stämme aus Wasser und Patientenblut über Jahre.</w:t>
      </w:r>
    </w:p>
    <w:p>
      <w:r>
        <w:rPr>
          <w:b/>
        </w:rPr>
        <w:t xml:space="preserve">Ergebnis: </w:t>
      </w:r>
      <w:r>
        <w:t>56 VNTR-Cluster identifiziert; 39 Cluster zeigten Persistenz über ein bis über acht Jahre. Umgebungsisolate voraus: neun Cluster zeigten Wasser-zu-Patient-Transmission. Ein Cluster (n=20) über acht Jahre mit 17 Umgebungs-, ein invasives und zwei nicht-invasive Isolate.</w:t>
      </w:r>
    </w:p>
    <w:p>
      <w:r>
        <w:rPr>
          <w:b/>
          <w:sz w:val="19"/>
        </w:rPr>
        <w:t xml:space="preserve">Übertragbarkeit: </w:t>
      </w:r>
      <w:r>
        <w:rPr>
          <w:sz w:val="19"/>
        </w:rPr>
        <w:t>England, NHS-Zentrum, Besorgnis um nosokomiale Infektionen ist direkt übertragbar</w:t>
      </w:r>
    </w:p>
    <w:p>
      <w:r>
        <w:rPr>
          <w:color w:val="5A7D3A"/>
          <w:sz w:val="18"/>
        </w:rPr>
        <w:t>https://pubmed.ncbi.nlm.nih.gov/42476193/</w:t>
      </w:r>
    </w:p>
    <w:p>
      <w:pPr>
        <w:pStyle w:val="Heading1"/>
      </w:pPr>
      <w:r>
        <w:t>Aufgenommen am 06.09.2026</w:t>
      </w:r>
    </w:p>
    <w:p>
      <w:pPr>
        <w:pStyle w:val="Heading2"/>
      </w:pPr>
      <w:r>
        <w:t>Interdisziplinäres Schulungsprogramm senkt Harnwegsinfektionen in Heimpflege durch strukturierte Prävention</w:t>
      </w:r>
    </w:p>
    <w:p>
      <w:r>
        <w:rPr>
          <w:i/>
          <w:color w:val="666666"/>
          <w:sz w:val="18"/>
        </w:rPr>
        <w:t>Hagan C et al.  ·  Home Healthc Now  ·  04.09.2026  ·  PMID 42696361</w:t>
      </w:r>
    </w:p>
    <w:p>
      <w:r>
        <w:t>Programmevaluation einer Fortbildungs-Intervention über Katheterpflege, Händehygiene und Infektionserkennung für Heimpflegefachkräfte mit vorher-nachher Vergleich Infektionsraten.</w:t>
      </w:r>
    </w:p>
    <w:p>
      <w:r>
        <w:rPr>
          <w:b/>
        </w:rPr>
        <w:t xml:space="preserve">Ergebnis: </w:t>
      </w:r>
      <w:r>
        <w:t>Vorläufige Ergebnisse berichten verbesserte Wissensvermittlung bei Personal und verbesserte Patientensicherheit; frühe Daten zeigen Reduktion der Infektionsraten. Interdisziplinärer Ansatz über Pflege, Ergotherapie, Wund- und Stomatologie-Spezialisierungen erwies sich in Alltagsroutinen praktisch anwendbar.</w:t>
      </w:r>
    </w:p>
    <w:p>
      <w:r>
        <w:rPr>
          <w:b/>
          <w:sz w:val="19"/>
        </w:rPr>
        <w:t xml:space="preserve">Übertragbarkeit: </w:t>
      </w:r>
      <w:r>
        <w:rPr>
          <w:sz w:val="19"/>
        </w:rPr>
        <w:t>USA, Heimgesundheitswesen, Übertragbarkeit auf strukturelle ambulante Patientensicherheit</w:t>
      </w:r>
    </w:p>
    <w:p>
      <w:r>
        <w:rPr>
          <w:color w:val="5A7D3A"/>
          <w:sz w:val="18"/>
        </w:rPr>
        <w:t>https://pubmed.ncbi.nlm.nih.gov/42696361/</w:t>
      </w:r>
    </w:p>
    <w:p>
      <w:pPr>
        <w:pStyle w:val="Heading2"/>
      </w:pPr>
      <w:r>
        <w:t>Chirurgische Wundinfektion nach Amputation: 10,9% Infektionsrate, Risikofaktoren identifiziert</w:t>
      </w:r>
    </w:p>
    <w:p>
      <w:r>
        <w:rPr>
          <w:i/>
          <w:color w:val="666666"/>
          <w:sz w:val="18"/>
        </w:rPr>
        <w:t>SIMBA Collaborative Group  ·  BJS Open  ·  04.09.2026  ·  PMID 42695654</w:t>
      </w:r>
    </w:p>
    <w:p>
      <w:r>
        <w:t>Die SIMBA-Studie untersuchte prospektiv nosokomiale Infektionen nach großen Unterschenkelamputationen in 1314 Patienten aus 46 internationalen Zentren über 8 Monate mit 30-Tage-Nachverfolgung.</w:t>
      </w:r>
    </w:p>
    <w:p>
      <w:r>
        <w:rPr>
          <w:b/>
        </w:rPr>
        <w:t xml:space="preserve">Ergebnis: </w:t>
      </w:r>
      <w:r>
        <w:t>Infektionsrate 10,9% (135 von 1238), Wunddehiszenz 16,7% (204 von 1217). Unabhängige Risikofaktoren: niedrige glomeruläre Filtrationsrate, Herzerkrankung, verschmutzte/infizierte Wundklasse, Unterschenkelamputationen. Infektionen mit erhöhter Morbidität, Wunddehiszenz, Revisionsoperationen und verzögerter Entlassung assoziiert, aber nicht mit 30-Tage-Mortalität (7,0%).</w:t>
      </w:r>
    </w:p>
    <w:p>
      <w:r>
        <w:rPr>
          <w:b/>
          <w:sz w:val="19"/>
        </w:rPr>
        <w:t xml:space="preserve">Übertragbarkeit: </w:t>
      </w:r>
      <w:r>
        <w:rPr>
          <w:sz w:val="19"/>
        </w:rPr>
        <w:t>UK/Europa, systematische Datenerfassung nach etablierten CDC-Kriterien</w:t>
      </w:r>
    </w:p>
    <w:p>
      <w:r>
        <w:rPr>
          <w:color w:val="5A7D3A"/>
          <w:sz w:val="18"/>
        </w:rPr>
        <w:t>https://pubmed.ncbi.nlm.nih.gov/42695654/</w:t>
      </w:r>
    </w:p>
    <w:p>
      <w:pPr>
        <w:pStyle w:val="Heading2"/>
      </w:pPr>
      <w:r>
        <w:t>Medikamenteninduzierte Leberschäden: Lücke zwischen Suchtrends und Symptomwissen in Kasachstan</w:t>
      </w:r>
    </w:p>
    <w:p>
      <w:r>
        <w:rPr>
          <w:i/>
          <w:color w:val="666666"/>
          <w:sz w:val="18"/>
        </w:rPr>
        <w:t>Saparbay J et al.  ·  Int J Environ Res Public Health  ·  14.08.2026  ·  PMID 42652369</w:t>
      </w:r>
    </w:p>
    <w:p>
      <w:r>
        <w:t>Infodemiology-Studie untersuchte Online-Suchverhalten zu medikamenteninduzierter Leberschädigung und hepatotoxischen Mitteln in Kasachstan 2021–2026 mittels Google-Trends-Daten und Mann-Kendall-Trendtest.</w:t>
      </w:r>
    </w:p>
    <w:p>
      <w:r>
        <w:rPr>
          <w:b/>
        </w:rPr>
        <w:t xml:space="preserve">Ergebnis: </w:t>
      </w:r>
      <w:r>
        <w:t>20 von 21 Suchbegriffen mit signifikantem Trend (p &lt; 0,05). Diätetische Supplemente zeigten stärksten Anstiegstrend (S = +1.275, Z = +7,93, p &lt; 0,001). Allgemeiner Begriff ‚Leber' höchste Suchaktivität (mittlere RSV 84,30), spezifische DILI-Symptome (dunkler Urin, Hautjucken) minimal (1,28; 0,07). Starke positive Korrelation Paracetamol-Antibiotika-Suchen (rs = 0,812, p &lt; 0,001) zeigt Selbstmedikationsmuster.</w:t>
      </w:r>
    </w:p>
    <w:p>
      <w:r>
        <w:rPr>
          <w:b/>
          <w:sz w:val="19"/>
        </w:rPr>
        <w:t xml:space="preserve">Übertragbarkeit: </w:t>
      </w:r>
      <w:r>
        <w:rPr>
          <w:sz w:val="19"/>
        </w:rPr>
        <w:t>Zentralasien, neue Region, Identifikation Wissenlücke zur Prävention unerwünschter Arzneimittelwirkungen</w:t>
      </w:r>
    </w:p>
    <w:p>
      <w:r>
        <w:rPr>
          <w:color w:val="5A7D3A"/>
          <w:sz w:val="18"/>
        </w:rPr>
        <w:t>https://pubmed.ncbi.nlm.nih.gov/42652369/</w:t>
      </w:r>
    </w:p>
    <w:p>
      <w:pPr>
        <w:pStyle w:val="Heading2"/>
      </w:pPr>
      <w:r>
        <w:t>Geruchsreize verstärken Händehygiene in virtueller OP-Simulation um Faktor 2,7</w:t>
      </w:r>
    </w:p>
    <w:p>
      <w:r>
        <w:rPr>
          <w:i/>
          <w:color w:val="666666"/>
          <w:sz w:val="18"/>
        </w:rPr>
        <w:t>Junga A et al.  ·  JMIR Med Educ  ·  19.08.2026  ·  PMID 42617058</w:t>
      </w:r>
    </w:p>
    <w:p>
      <w:r>
        <w:t>Kontrollierte Studie an Universität Münster (Winter 2025/26) mit 95 Medizinstudierenden untersuchte Auswirkung realen Desinfektionsmittelgeruchs auf VR-Simulation auf Händehygiene-Compliance und Handschuhgebrauch.</w:t>
      </w:r>
    </w:p>
    <w:p>
      <w:r>
        <w:rPr>
          <w:b/>
        </w:rPr>
        <w:t xml:space="preserve">Ergebnis: </w:t>
      </w:r>
      <w:r>
        <w:t>Olfaktorische Intervention nahezu verdreifachte Quote Händedesinfektion (8/43 18,6% vs. 20/52 38,5%; absolute Risikodifferenz 19,9 Prozentpunkte; OR=2,73, 95%-KI 1,09–7,40; p=0,04; NNT=5). Kein signifikanter Unterschied Handschuhgebrauch (OR=1,44, 95%-KI 0,62–3,45; p=0,40).</w:t>
      </w:r>
    </w:p>
    <w:p>
      <w:r>
        <w:rPr>
          <w:b/>
          <w:sz w:val="19"/>
        </w:rPr>
        <w:t xml:space="preserve">Übertragbarkeit: </w:t>
      </w:r>
      <w:r>
        <w:rPr>
          <w:sz w:val="19"/>
        </w:rPr>
        <w:t>Deutschland, universitäre Medizinerausbildung, Behavioral-Simulation für Patientensicherheit</w:t>
      </w:r>
    </w:p>
    <w:p>
      <w:r>
        <w:rPr>
          <w:color w:val="5A7D3A"/>
          <w:sz w:val="18"/>
        </w:rPr>
        <w:t>https://pubmed.ncbi.nlm.nih.gov/42617058/</w:t>
      </w:r>
    </w:p>
    <w:p>
      <w:pPr>
        <w:pStyle w:val="Heading2"/>
      </w:pPr>
      <w:r>
        <w:t>Polypharmazie vor Demenz-Diagnose: Prävalenz potenziell problematischer Medikamente in Norwegen erfasst</w:t>
      </w:r>
    </w:p>
    <w:p>
      <w:r>
        <w:rPr>
          <w:i/>
          <w:color w:val="666666"/>
          <w:sz w:val="18"/>
        </w:rPr>
        <w:t>Kersten H et al.  ·  PLoS One  ·  18.08.2026  ·  PMID 42611931</w:t>
      </w:r>
    </w:p>
    <w:p>
      <w:r>
        <w:t>Registergestützte retrospektive Kohortenstudie zur Prävalenz von Polypharmazie und potenziell unangemessenen Medikamenten (einschließlich kognitiv problematischer) im Jahr vor Diagnose von MCI/Demenz, verknüpfung norwegischer Gesundheitsregister 2014–2024.</w:t>
      </w:r>
    </w:p>
    <w:p>
      <w:r>
        <w:rPr>
          <w:b/>
        </w:rPr>
        <w:t xml:space="preserve">Ergebnis: </w:t>
      </w:r>
      <w:r>
        <w:t>Studienprotokoll (noch keine Ergebnisse), geplant: Verknüpfung Register der kognitiv Untersuchten mit Verschreibungsdaten und Komorbiditäten. Ziel: Prävalenz Polypharmazie und problematischer Medikamente bei diagnostizierter MCI/Demenz beschreiben, deprescribing-Interventionen informieren.</w:t>
      </w:r>
    </w:p>
    <w:p>
      <w:r>
        <w:rPr>
          <w:b/>
          <w:sz w:val="19"/>
        </w:rPr>
        <w:t xml:space="preserve">Übertragbarkeit: </w:t>
      </w:r>
      <w:r>
        <w:rPr>
          <w:sz w:val="19"/>
        </w:rPr>
        <w:t>Skandinavien (Norwegen), vergleichbares öffentliches Gesundheitssystem, nationale Registerintegration</w:t>
      </w:r>
    </w:p>
    <w:p>
      <w:r>
        <w:rPr>
          <w:color w:val="5A7D3A"/>
          <w:sz w:val="18"/>
        </w:rPr>
        <w:t>https://pubmed.ncbi.nlm.nih.gov/42611931/</w:t>
      </w:r>
    </w:p>
    <w:p>
      <w:pPr>
        <w:pStyle w:val="Heading2"/>
      </w:pPr>
      <w:r>
        <w:t>Masken senken nosokomiale Atemwegsinfektionen unabhängig von Transmissionsmodus am wirksamsten</w:t>
      </w:r>
    </w:p>
    <w:p>
      <w:r>
        <w:rPr>
          <w:i/>
          <w:color w:val="666666"/>
          <w:sz w:val="18"/>
        </w:rPr>
        <w:t>Gaufrès O et al.  ·  PLoS Comput Biol  ·  03.08.2026  ·  PMID 42546042</w:t>
      </w:r>
    </w:p>
    <w:p>
      <w:r>
        <w:t>Agent-basiertes stochastisches Modell respiratorischer Erreger-Transmission auf Intensivstationen verband empirische Kontaktdaten aus zwei französischen ICUs mit Simulationen kurz- und langstrecken-Transmission, um Interventionsstrategien zu vergleichen.</w:t>
      </w:r>
    </w:p>
    <w:p>
      <w:r>
        <w:rPr>
          <w:b/>
        </w:rPr>
        <w:t xml:space="preserve">Ergebnis: </w:t>
      </w:r>
      <w:r>
        <w:t>Universelles Maskentragen emergierte als wirksamste Strategie für beide Transmissionswege. Mit Lüftung in patientenzugänglichen Räumen konnten Masken mit begrenztem Wirkungsverlust reduziert werden. Interventionen für Beschäftigte (z. B. Lüftung nicht für Patienten zugänglich) senken indirekt Inzidenz bei Patienten stärker, wenn kombiniert mit gelockerten Maskenmaßnahmen.</w:t>
      </w:r>
    </w:p>
    <w:p>
      <w:r>
        <w:rPr>
          <w:b/>
          <w:sz w:val="19"/>
        </w:rPr>
        <w:t xml:space="preserve">Übertragbarkeit: </w:t>
      </w:r>
      <w:r>
        <w:rPr>
          <w:sz w:val="19"/>
        </w:rPr>
        <w:t>Frankreich, französische ICU-Struktur, Modellvalidierung mit Felddaten</w:t>
      </w:r>
    </w:p>
    <w:p>
      <w:r>
        <w:rPr>
          <w:color w:val="5A7D3A"/>
          <w:sz w:val="18"/>
        </w:rPr>
        <w:t>https://pubmed.ncbi.nlm.nih.gov/42546042/</w:t>
      </w:r>
    </w:p>
    <w:p>
      <w:pPr>
        <w:pStyle w:val="Heading2"/>
      </w:pPr>
      <w:r>
        <w:t>Piperacillin-Tazobactam-Resistenz und Mortalität: keine signifikante Assoziation nach Risikoanpassung</w:t>
      </w:r>
    </w:p>
    <w:p>
      <w:r>
        <w:rPr>
          <w:i/>
          <w:color w:val="666666"/>
          <w:sz w:val="18"/>
        </w:rPr>
        <w:t>Tusch E et al.  ·  JAMA Netw Open  ·  01.07.2026  ·  PMID 42485042</w:t>
      </w:r>
    </w:p>
    <w:p>
      <w:r>
        <w:t>Dänische nationale Registeranalyse von 34.379 Patienten mit E. coli oder K. pneumoniae Bacteriämie, Vergleich TZP-resistent vs. -empfindlich für 30-Tage-Mortalität.</w:t>
      </w:r>
    </w:p>
    <w:p>
      <w:r>
        <w:rPr>
          <w:b/>
        </w:rPr>
        <w:t xml:space="preserve">Ergebnis: </w:t>
      </w:r>
      <w:r>
        <w:t>E. coli: 5,9% TZP-resistent (1689/28.649), K. pneumoniae: 9,5% TZP-resistent (597/6314). Rohe HR E. coli 1,22 (95%-KI 1,08–1,38), K. pneumoniae 1,27 (95%-KI 1,05–1,52). Nach Anpassung auf Baseline-Risikofaktoren kein signifikanter Unterschied: E. coli aHR 1,09 (95%-KI 0,94–1,27), K. pneumoniae aHR 1,15 (95%-KI 0,94–1,41).</w:t>
      </w:r>
    </w:p>
    <w:p>
      <w:r>
        <w:rPr>
          <w:b/>
          <w:sz w:val="19"/>
        </w:rPr>
        <w:t xml:space="preserve">Übertragbarkeit: </w:t>
      </w:r>
      <w:r>
        <w:rPr>
          <w:sz w:val="19"/>
        </w:rPr>
        <w:t>Skandinavien (Dänemark), vergleichbares öffentliches Gesundheitssystem, nationale Vollzählung</w:t>
      </w:r>
    </w:p>
    <w:p>
      <w:r>
        <w:rPr>
          <w:color w:val="5A7D3A"/>
          <w:sz w:val="18"/>
        </w:rPr>
        <w:t>https://pubmed.ncbi.nlm.nih.gov/42485042/</w:t>
      </w:r>
    </w:p>
    <w:p>
      <w:pPr>
        <w:pStyle w:val="Heading1"/>
      </w:pPr>
      <w:r>
        <w:t>Aufgenommen am 05.09.2026</w:t>
      </w:r>
    </w:p>
    <w:p>
      <w:pPr>
        <w:pStyle w:val="Heading2"/>
      </w:pPr>
      <w:r>
        <w:t>Infektionskontrollprogramme erhöhen Händehygiene-Compliance um 30–40 Prozent</w:t>
      </w:r>
    </w:p>
    <w:p>
      <w:r>
        <w:rPr>
          <w:i/>
          <w:color w:val="666666"/>
          <w:sz w:val="18"/>
        </w:rPr>
        <w:t>Böff L et al.  ·  BMJ Open  ·  04.09.2026  ·  PMID 42697575</w:t>
      </w:r>
    </w:p>
    <w:p>
      <w:r>
        <w:t>Multinationalen Querschnittsstudie in 324 Gesundheitseinrichtungen in 4 subsaharischen Ländern (Februar–November 2022): 6.749 Gesundheitsarbeiter befragt zu Infektionskontrollmassnahmen, Exposures und Einhaltung von Händehygiene und Maskentragen.</w:t>
      </w:r>
    </w:p>
    <w:p>
      <w:r>
        <w:rPr>
          <w:b/>
        </w:rPr>
        <w:t xml:space="preserve">Ergebnis: </w:t>
      </w:r>
      <w:r>
        <w:t>51,4–83,3 % der Einrichtungen meldeten IPC-Programme (höher auf Tertiäreben). Nur 19,8 % hatten Handdesinfektionsmittel in jedem Zimmer. Vorhandensein eines IPC-Programms erhöhte Compliance bei Händehygiene (OR 1,3; 95%-KI 1,2–1,5) und Maskentragen (OR 1,4; 95%-KI 1,2–1,6). IPC-Training erhöhte Händehygiene-Compliance (OR 1,5; 95%-KI 1,3–1,7). Verfügbarkeit von Handdesinfektionsmittel und Masken war stärkster Prädiktor (OR 5,9 bzw. 2,3).</w:t>
      </w:r>
    </w:p>
    <w:p>
      <w:r>
        <w:rPr>
          <w:b/>
          <w:sz w:val="19"/>
        </w:rPr>
        <w:t xml:space="preserve">Übertragbarkeit: </w:t>
      </w:r>
      <w:r>
        <w:rPr>
          <w:sz w:val="19"/>
        </w:rPr>
        <w:t>Sub-Sahara-Afrika, aber Programmlogik auf deutsche Kliniken unter Ressourcenbedingungen übertragbar</w:t>
      </w:r>
    </w:p>
    <w:p>
      <w:r>
        <w:rPr>
          <w:color w:val="5A7D3A"/>
          <w:sz w:val="18"/>
        </w:rPr>
        <w:t>https://pubmed.ncbi.nlm.nih.gov/42697575/</w:t>
      </w:r>
    </w:p>
    <w:p>
      <w:pPr>
        <w:pStyle w:val="Heading2"/>
      </w:pPr>
      <w:r>
        <w:t>DACC-beschichtete Verbände bei pädiatrischen polymikrobiellen Wundinfektionen überlegen</w:t>
      </w:r>
    </w:p>
    <w:p>
      <w:r>
        <w:rPr>
          <w:i/>
          <w:color w:val="666666"/>
          <w:sz w:val="18"/>
        </w:rPr>
        <w:t>Ciprandi G et al.  ·  J Wound Care  ·  02.09.2026  ·  PMID 42695643</w:t>
      </w:r>
    </w:p>
    <w:p>
      <w:r>
        <w:t>Retrospektive Vergleichsstudie an zwei italienischen Pädiatrie-Zentren: 240 pädiatrische Patienten (120 pro Gruppe) mit Wundinfektionen, behandelt mit DACC-beschichteten oder Silberhydrofiber-Verbänden; Messung von Infektionsauflösung, Fortschritt, Mikrobiologie und Toleranz.</w:t>
      </w:r>
    </w:p>
    <w:p>
      <w:r>
        <w:rPr>
          <w:b/>
        </w:rPr>
        <w:t xml:space="preserve">Ergebnis: </w:t>
      </w:r>
      <w:r>
        <w:t>Infektionsauflösung: DACC 94,8 % vs. Silberhydrofiber 79,0 % (p=0,05). Keine Progression/Verschlechterung: DACC 4,2 % vs. 13,5 % (p=0,03) bzw. 2,5 % vs. 7,5 % (p=0,005). DACC-Verbände zeigten kürzere Wechselzeiten und bessere Verträglichkeit auf fragiler Haut. Häufig WHO-Prioritätserreger in Kulturen.</w:t>
      </w:r>
    </w:p>
    <w:p>
      <w:r>
        <w:rPr>
          <w:b/>
          <w:sz w:val="19"/>
        </w:rPr>
        <w:t xml:space="preserve">Übertragbarkeit: </w:t>
      </w:r>
      <w:r>
        <w:rPr>
          <w:sz w:val="19"/>
        </w:rPr>
        <w:t>Italien, deutschsprachiger Pädiatrie-Standard vergleichbar</w:t>
      </w:r>
    </w:p>
    <w:p>
      <w:r>
        <w:rPr>
          <w:color w:val="5A7D3A"/>
          <w:sz w:val="18"/>
        </w:rPr>
        <w:t>https://pubmed.ncbi.nlm.nih.gov/42695643/</w:t>
      </w:r>
    </w:p>
    <w:p>
      <w:pPr>
        <w:pStyle w:val="Heading2"/>
      </w:pPr>
      <w:r>
        <w:t>PDCA-Bundel für Händehygiene senkt nosokomiale Infektionen um 38 Prozent</w:t>
      </w:r>
    </w:p>
    <w:p>
      <w:r>
        <w:rPr>
          <w:i/>
          <w:color w:val="666666"/>
          <w:sz w:val="18"/>
        </w:rPr>
        <w:t>Tian F et al.  ·  J Vis Exp  ·  03.09.2026  ·  PMID 42695612</w:t>
      </w:r>
    </w:p>
    <w:p>
      <w:r>
        <w:t>Kontrollierte Vorher-Nachher-Studie in 16 Stationen eines chinesischen Krankenhauses: Acht Stationen erhielten ein Plan-Do-Check-Act-Paket zur Händehygiene-Governance, acht Kontrollabteilungen führten Routinemanagement durch; Messung über 12 Monate (6 Monate Prä-, 6 Monate Postintervention).</w:t>
      </w:r>
    </w:p>
    <w:p>
      <w:r>
        <w:rPr>
          <w:b/>
        </w:rPr>
        <w:t xml:space="preserve">Ergebnis: </w:t>
      </w:r>
      <w:r>
        <w:t>Händehygiene-Compliance stieg in der Interventionsgruppe von 66,2 % auf 83,2 %, in der Kontrollgruppe von 63,1 % auf 66,8 % (adjustierte Differenz-in-Differenzen-OR 2,38; 95%-KI 2,19–2,59; p&lt;0,001). Nosokomiale Infektionen sanken von 7,07 auf 4,37 pro 1.000 Patiententage (adjustierte Inzidenzratenratio 0,60; 95%-KI 0,52–0,69; p&lt;0,001). Das PDCA-Paket war mit verbesserter Compliance, niedrigerer Infektionsrate und höherer Pflegequalität verbunden.</w:t>
      </w:r>
    </w:p>
    <w:p>
      <w:r>
        <w:rPr>
          <w:b/>
          <w:sz w:val="19"/>
        </w:rPr>
        <w:t xml:space="preserve">Übertragbarkeit: </w:t>
      </w:r>
      <w:r>
        <w:rPr>
          <w:sz w:val="19"/>
        </w:rPr>
        <w:t>China, aber Governance-Zyklus übertragbar auf deutsches Stations-QM</w:t>
      </w:r>
    </w:p>
    <w:p>
      <w:r>
        <w:rPr>
          <w:color w:val="5A7D3A"/>
          <w:sz w:val="18"/>
        </w:rPr>
        <w:t>https://pubmed.ncbi.nlm.nih.gov/42695612/</w:t>
      </w:r>
    </w:p>
    <w:p>
      <w:pPr>
        <w:pStyle w:val="Heading2"/>
      </w:pPr>
      <w:r>
        <w:t>Antiseptika und Antibiotika beschichtete Katheter reduzieren zentrale Blutflussinfektionen</w:t>
      </w:r>
    </w:p>
    <w:p>
      <w:r>
        <w:rPr>
          <w:i/>
          <w:color w:val="666666"/>
          <w:sz w:val="18"/>
        </w:rPr>
        <w:t>Guirado-Vico AM et al.  ·  J Infus Nurs  ·  25.08.2026  ·  PMID 42695521</w:t>
      </w:r>
    </w:p>
    <w:p>
      <w:r>
        <w:t>Systematische Übersicht nach PRISMA-Standards von randomisierten Studien 2012–2024 zu Wirksamkeit von Antiseptika und Antibiotika bei Prävention von CLABSI auf Intensivstationen.</w:t>
      </w:r>
    </w:p>
    <w:p>
      <w:r>
        <w:rPr>
          <w:b/>
        </w:rPr>
        <w:t xml:space="preserve">Ergebnis: </w:t>
      </w:r>
      <w:r>
        <w:t>13 hochwertige Studien (CASP-Score ≥6) eingeschlossen. Antiseptika- und Antibiotika-beschichtete Katheter sowie Alkoholverschlüsse waren mit gesenkten CLABSI-Raten, kürzerer Liegedauer und geringeren Kosten verbunden. Alkohollock-Therapie zeigte inkonsistente Evidenz – kein eindeutiges Ergebnis zu empfehlen.</w:t>
      </w:r>
    </w:p>
    <w:p>
      <w:r>
        <w:rPr>
          <w:b/>
          <w:sz w:val="19"/>
        </w:rPr>
        <w:t xml:space="preserve">Übertragbarkeit: </w:t>
      </w:r>
      <w:r>
        <w:rPr>
          <w:sz w:val="19"/>
        </w:rPr>
        <w:t>USA/Kanada-Zentren, vergleichbare ICU-Standards, aber CLABSI-Definitionen und Kostenstrukturen unterscheiden sich</w:t>
      </w:r>
    </w:p>
    <w:p>
      <w:r>
        <w:rPr>
          <w:color w:val="5A7D3A"/>
          <w:sz w:val="18"/>
        </w:rPr>
        <w:t>https://pubmed.ncbi.nlm.nih.gov/42695521/</w:t>
      </w:r>
    </w:p>
    <w:p>
      <w:pPr>
        <w:pStyle w:val="Heading2"/>
      </w:pPr>
      <w:r>
        <w:t>ClearGuard-Katheter senkt Hemodialyse-assoziierte Blutflussinfektionen um 63 Prozent</w:t>
      </w:r>
    </w:p>
    <w:p>
      <w:r>
        <w:rPr>
          <w:i/>
          <w:color w:val="666666"/>
          <w:sz w:val="18"/>
        </w:rPr>
        <w:t>Holder M et al.  ·  J Infus Nurs  ·  25.08.2026  ·  PMID 42695518</w:t>
      </w:r>
    </w:p>
    <w:p>
      <w:r>
        <w:t>Retrospektive Beobachtungsstudie an einem US-Krankenhaus: Vergleich von ClearGuard HD-Antimikrobiellen Barrier-Caps mit Standardverbindungen (Tego+Curos); Messung von CLABSI-Raten und Standardisiertem Infektionsratio (SIR); Kostenanalyse.</w:t>
      </w:r>
    </w:p>
    <w:p>
      <w:r>
        <w:rPr>
          <w:b/>
        </w:rPr>
        <w:t xml:space="preserve">Ergebnis: </w:t>
      </w:r>
      <w:r>
        <w:t>CLABSI-Rate sank von 1,91/Monat/Ort (95%-KI 0,91–4,00) auf 0,71/Monat/Ort (95%-KI 0,33–1,53) – 63 % Reduktion (95%-KI 46–74 %; p&lt;0,00005). SIR sank von 0,721 auf 0,310 (57 % Reduktion). Geschätzter jährlicher Kostensparnis: 1,6 Millionen Dollar. Klinisch signifikante Senkung ohne aufgearbeitete Nebenwirkungen.</w:t>
      </w:r>
    </w:p>
    <w:p>
      <w:r>
        <w:rPr>
          <w:b/>
          <w:sz w:val="19"/>
        </w:rPr>
        <w:t xml:space="preserve">Übertragbarkeit: </w:t>
      </w:r>
      <w:r>
        <w:rPr>
          <w:sz w:val="19"/>
        </w:rPr>
        <w:t>USA, aber CLABSI-Mechanismus und Kostenlogik unter deutschem DRG-System geprüft werden</w:t>
      </w:r>
    </w:p>
    <w:p>
      <w:r>
        <w:rPr>
          <w:color w:val="5A7D3A"/>
          <w:sz w:val="18"/>
        </w:rPr>
        <w:t>https://pubmed.ncbi.nlm.nih.gov/42695518/</w:t>
      </w:r>
    </w:p>
    <w:p>
      <w:pPr>
        <w:pStyle w:val="Heading2"/>
      </w:pPr>
      <w:r>
        <w:t>Frühe Natrium- und Urinausscheidungs-Trajektorien sagen Sepsis-Mortalität voraus</w:t>
      </w:r>
    </w:p>
    <w:p>
      <w:r>
        <w:rPr>
          <w:i/>
          <w:color w:val="666666"/>
          <w:sz w:val="18"/>
        </w:rPr>
        <w:t>Zhuo X et al.  ·  J Glob Health  ·  04.09.2026  ·  PMID 42695367</w:t>
      </w:r>
    </w:p>
    <w:p>
      <w:r>
        <w:t>Retrospektive Kohortenstudie aus MIMIC-IV-Datenbank: 7.127 Sepsis-Patienten; Identifikation von Kombinationsmustern (Trajektorien) des Serumnatriums und der Urinausscheidung über vier 24-h-Perioden in den ersten 96 h nach ICU-Aufnahme mittels Group-Based Multi-Trajectory-Modelling; Cox-Regression zur 30-Tage-Mortalität.</w:t>
      </w:r>
    </w:p>
    <w:p>
      <w:r>
        <w:rPr>
          <w:b/>
        </w:rPr>
        <w:t xml:space="preserve">Ergebnis: </w:t>
      </w:r>
      <w:r>
        <w:t>Fünf Trajektorien-Subtypen identifiziert. Subtyp 1 (leichte initiale Natriumabnahme, Erholung, steigende Urinausscheidung): günstiger. Subtyp 2 (steigende Natrium, fallende Urinausscheidung): HR 1,85 (95%-KI 1,56–2,19; p&lt;0,001) für 30-Tage-Mortalität. Subtypen 4 und 5 auch erhöhtes Risiko (HR 1,31 bzw. 1,53). Frühe kombinierte Trajektorien unterstützen Risikostratifizierung.</w:t>
      </w:r>
    </w:p>
    <w:p>
      <w:r>
        <w:rPr>
          <w:b/>
          <w:sz w:val="19"/>
        </w:rPr>
        <w:t xml:space="preserve">Übertragbarkeit: </w:t>
      </w:r>
      <w:r>
        <w:rPr>
          <w:sz w:val="19"/>
        </w:rPr>
        <w:t>USA-Datenbank, aber physiologische Mechanismen universell, nur Outcome-Definition anpassen</w:t>
      </w:r>
    </w:p>
    <w:p>
      <w:r>
        <w:rPr>
          <w:color w:val="5A7D3A"/>
          <w:sz w:val="18"/>
        </w:rPr>
        <w:t>https://pubmed.ncbi.nlm.nih.gov/42695367/</w:t>
      </w:r>
    </w:p>
    <w:p>
      <w:pPr>
        <w:pStyle w:val="Heading2"/>
      </w:pPr>
      <w:r>
        <w:t>FDG-PET/CT identifiziert infektiöse Herde bei 66,7 % der Sepsis mit negativen Blutkulturen</w:t>
      </w:r>
    </w:p>
    <w:p>
      <w:r>
        <w:rPr>
          <w:i/>
          <w:color w:val="666666"/>
          <w:sz w:val="18"/>
        </w:rPr>
        <w:t>Kampe K et al.  ·  Crit Care Explor  ·  01.09.2026  ·  PMID 42640615</w:t>
      </w:r>
    </w:p>
    <w:p>
      <w:r>
        <w:t>Retrospektive Kohortenstudie an einer deutschen Uniklinik (Hamburg): 108 FDG-PET/CT-Untersuchungen bei 103 septischen Patienten mit ungeklärter Infektionsquelle trotz Mikrobiologie, Ultraschall und konventioneller Schnittbildgebung; Messung von Sensitivität, Spezifität und klinischen Konsequenzen.</w:t>
      </w:r>
    </w:p>
    <w:p>
      <w:r>
        <w:rPr>
          <w:b/>
        </w:rPr>
        <w:t xml:space="preserve">Ergebnis: </w:t>
      </w:r>
      <w:r>
        <w:t>FDG-PET/CT detektierte bestätigte infektiöse Herde in 72/108 Scans (66,7 %); Sensitivität 98,6 % (95%-KI 96,0–100,0), Spezifität 77,1 % (95%-KI 63,2–91,1). 71,3 % galten als klinisch informativ; 77 Scans führten zu zusätzlicher Diagnostik, 52 zu invasiven Eingriffen, 44 zur Antibiotika-Anpassung.</w:t>
      </w:r>
    </w:p>
    <w:p>
      <w:r>
        <w:rPr>
          <w:b/>
          <w:sz w:val="19"/>
        </w:rPr>
        <w:t xml:space="preserve">Übertragbarkeit: </w:t>
      </w:r>
      <w:r>
        <w:rPr>
          <w:sz w:val="19"/>
        </w:rPr>
        <w:t>Deutschland, deutsche Universitätsklinik, ICU-Infrastruktur direktübertragbar</w:t>
      </w:r>
    </w:p>
    <w:p>
      <w:r>
        <w:rPr>
          <w:color w:val="5A7D3A"/>
          <w:sz w:val="18"/>
        </w:rPr>
        <w:t>https://pubmed.ncbi.nlm.nih.gov/42640615/</w:t>
      </w:r>
    </w:p>
    <w:p>
      <w:pPr>
        <w:pStyle w:val="Heading1"/>
      </w:pPr>
      <w:r>
        <w:t>Aufgenommen am 04.09.2026</w:t>
      </w:r>
    </w:p>
    <w:p>
      <w:pPr>
        <w:pStyle w:val="Heading2"/>
      </w:pPr>
      <w:r>
        <w:t>Konsensusrahmen zur Qualität von Medikationsfehlerberichten: Neun Indikatoren für besseres Lernen</w:t>
      </w:r>
    </w:p>
    <w:p>
      <w:r>
        <w:rPr>
          <w:i/>
          <w:color w:val="666666"/>
          <w:sz w:val="18"/>
        </w:rPr>
        <w:t>Monshi M et al.  ·  BMJ Open  ·  02.09.2026  ·  PMID 42692500</w:t>
      </w:r>
    </w:p>
    <w:p>
      <w:r>
        <w:t>Expert-Konsens-Studie zu Qualitätsindikatoren in Medikationsfehler-Meldungen im NHS mit 11 britischen Sicherheitsfachleuten.</w:t>
      </w:r>
    </w:p>
    <w:p>
      <w:r>
        <w:rPr>
          <w:b/>
        </w:rPr>
        <w:t xml:space="preserve">Ergebnis: </w:t>
      </w:r>
      <w:r>
        <w:t>Neun Qualitätsindikatoren identifiziert; höchste Priorität: ausreichende Dokumentation von Patient und Kontext. Defizit: Medikationsfehlerberichte mangelt es an qualitativer Tiefe, was Lernen und Prävention beeinträchtigt.</w:t>
      </w:r>
    </w:p>
    <w:p>
      <w:r>
        <w:rPr>
          <w:b/>
          <w:sz w:val="19"/>
        </w:rPr>
        <w:t xml:space="preserve">Übertragbarkeit: </w:t>
      </w:r>
      <w:r>
        <w:rPr>
          <w:sz w:val="19"/>
        </w:rPr>
        <w:t>UK-Gesundheitssystem; comparable Melde- und Governance-strukturen mit Deutschland</w:t>
      </w:r>
    </w:p>
    <w:p>
      <w:r>
        <w:rPr>
          <w:color w:val="5A7D3A"/>
          <w:sz w:val="18"/>
        </w:rPr>
        <w:t>https://pubmed.ncbi.nlm.nih.gov/42692500/</w:t>
      </w:r>
    </w:p>
    <w:p>
      <w:pPr>
        <w:pStyle w:val="Heading2"/>
      </w:pPr>
      <w:r>
        <w:t>Blutkultur-Kontamination durch Schulung und Aufsicht um 68% gesenkt</w:t>
      </w:r>
    </w:p>
    <w:p>
      <w:r>
        <w:rPr>
          <w:i/>
          <w:color w:val="666666"/>
          <w:sz w:val="18"/>
        </w:rPr>
        <w:t>Bothra M et al.  ·  Natl Med J India  ·  Sept. 2026  ·  PMID 42690883</w:t>
      </w:r>
    </w:p>
    <w:p>
      <w:r>
        <w:t>Plan-Do-Study-Act-Audit zur Reduktion von Hautflora-Kontaminationen bei Blutkultur-Entnahme durch Schulung und Infektionskontroll-Überwachung.</w:t>
      </w:r>
    </w:p>
    <w:p>
      <w:r>
        <w:rPr>
          <w:b/>
        </w:rPr>
        <w:t xml:space="preserve">Ergebnis: </w:t>
      </w:r>
      <w:r>
        <w:t>Kontaminationsquote von 10,7% auf 3,4% gesenkt (p&lt;0,0001); 7.329 Blutkulturen untersucht (5.700 post-intervention). Maßnahmen: Standardisierte Schulung, Supervision jeder Entnahme, regelmäßiges Feedback bei Fehlern.</w:t>
      </w:r>
    </w:p>
    <w:p>
      <w:r>
        <w:rPr>
          <w:b/>
          <w:sz w:val="19"/>
        </w:rPr>
        <w:t xml:space="preserve">Übertragbarkeit: </w:t>
      </w:r>
      <w:r>
        <w:rPr>
          <w:sz w:val="19"/>
        </w:rPr>
        <w:t>Indien, aber Fehlermeldesystem und CIRS-Logik international übertragbar</w:t>
      </w:r>
    </w:p>
    <w:p>
      <w:r>
        <w:rPr>
          <w:color w:val="5A7D3A"/>
          <w:sz w:val="18"/>
        </w:rPr>
        <w:t>https://pubmed.ncbi.nlm.nih.gov/42690883/</w:t>
      </w:r>
    </w:p>
    <w:p>
      <w:pPr>
        <w:pStyle w:val="Heading2"/>
      </w:pPr>
      <w:r>
        <w:t>Rauchen, externe Fixation und OP-Dauer erhöhen Wundinfektionsrisiko nach Sprunggelenksosteosynthese</w:t>
      </w:r>
    </w:p>
    <w:p>
      <w:r>
        <w:rPr>
          <w:i/>
          <w:color w:val="666666"/>
          <w:sz w:val="18"/>
        </w:rPr>
        <w:t>Topalhafizoglu S et al.  ·  Acta Orthop  ·  03.09.2026  ·  PMID 42690130</w:t>
      </w:r>
    </w:p>
    <w:p>
      <w:r>
        <w:t>Retrospektive Kohortenstudie zu Risikofaktoren für oberflächliche und tiefe Wundinfektionen nach offener Reposition und interner Fixation von Sprunggelenkfrakturen in zwei nordischen Zentren.</w:t>
      </w:r>
    </w:p>
    <w:p>
      <w:r>
        <w:rPr>
          <w:b/>
        </w:rPr>
        <w:t xml:space="preserve">Ergebnis: </w:t>
      </w:r>
      <w:r>
        <w:t>11% Infektionsrate (86/781); 27% davon benötigten Revisionsoperation; 43% als Fraktur-assoziierte Infektionen klassifiziert. Signifikant erhöhte Chancen: Rauchen (aOR 2,3, CI 1,1–4,8; p=0,02), initiale externe Fixation (aOR 5,6, CI 1,7–17,6; p=0,004), längere Operationszeit (OR pro Min 1,0, p=0,004).</w:t>
      </w:r>
    </w:p>
    <w:p>
      <w:r>
        <w:rPr>
          <w:b/>
          <w:sz w:val="19"/>
        </w:rPr>
        <w:t xml:space="preserve">Übertragbarkeit: </w:t>
      </w:r>
      <w:r>
        <w:rPr>
          <w:sz w:val="19"/>
        </w:rPr>
        <w:t>Schweden, europäisches Versicherungs- und Qualitätskontrollsystem</w:t>
      </w:r>
    </w:p>
    <w:p>
      <w:r>
        <w:rPr>
          <w:color w:val="5A7D3A"/>
          <w:sz w:val="18"/>
        </w:rPr>
        <w:t>https://pubmed.ncbi.nlm.nih.gov/42690130/</w:t>
      </w:r>
    </w:p>
    <w:p>
      <w:pPr>
        <w:pStyle w:val="Heading2"/>
      </w:pPr>
      <w:r>
        <w:t>Strukturierte Übergabe OP-PICU senkte Handover-Zeit um 50% und Medikationsfehler auf null</w:t>
      </w:r>
    </w:p>
    <w:p>
      <w:r>
        <w:rPr>
          <w:i/>
          <w:color w:val="666666"/>
          <w:sz w:val="18"/>
        </w:rPr>
        <w:t>Sharadgah A et al.  ·  Nurs Crit Care  ·  Sept. 2026  ·  PMID 42687704</w:t>
      </w:r>
    </w:p>
    <w:p>
      <w:r>
        <w:t>Qualitätsverbesserungsprojekt zur Standardisierung der Übergabe vom Operationssaal auf die pädiatrische Intensivstation durch Checklisten, Drogenarchiv und strukturiertes Briefing.</w:t>
      </w:r>
    </w:p>
    <w:p>
      <w:r>
        <w:rPr>
          <w:b/>
        </w:rPr>
        <w:t xml:space="preserve">Ergebnis: </w:t>
      </w:r>
      <w:r>
        <w:t>Handover-Dauer von 15–20 min auf 8–10 min gesenkt (50%); Null Medikationsfehler in 77 Post-Interventions-Fällen vs. 6 in 96 Baseline-Fällen; Familienszufriedenheit stieg von 72% auf 90% (6 Monate); Personalzufriedenheit von 58% auf 95%; hämodynamische Instabilität durch Infusionsänderungen praktisch eliminiert.</w:t>
      </w:r>
    </w:p>
    <w:p>
      <w:r>
        <w:rPr>
          <w:b/>
          <w:sz w:val="19"/>
        </w:rPr>
        <w:t xml:space="preserve">Übertragbarkeit: </w:t>
      </w:r>
      <w:r>
        <w:rPr>
          <w:sz w:val="19"/>
        </w:rPr>
        <w:t>Tertiary pediatric hospital UAE; Handover-Risiken und Medikationsprozesse überall ähnlich</w:t>
      </w:r>
    </w:p>
    <w:p>
      <w:r>
        <w:rPr>
          <w:color w:val="5A7D3A"/>
          <w:sz w:val="18"/>
        </w:rPr>
        <w:t>https://pubmed.ncbi.nlm.nih.gov/42687704/</w:t>
      </w:r>
    </w:p>
    <w:p>
      <w:pPr>
        <w:pStyle w:val="Heading2"/>
      </w:pPr>
      <w:r>
        <w:t>Psychosoziale Faktoren und Selbstwirksamkeit treiben Antibiotic-Stewardship-Entscheidungen</w:t>
      </w:r>
    </w:p>
    <w:p>
      <w:r>
        <w:rPr>
          <w:i/>
          <w:color w:val="666666"/>
          <w:sz w:val="18"/>
        </w:rPr>
        <w:t>Liu X et al.  ·  Sci Rep  ·  13.08.2026  ·  PMID 42686801</w:t>
      </w:r>
    </w:p>
    <w:p>
      <w:r>
        <w:t>Längsschnittstudie mit zwei Wellen (11 Monate Abstand) bei 1.420 chinesischen Klinikern in Krankenhäusern aller Versorgungsstufen zur Vorhersage von Stewardship-konformen Reaktionen auf klinische Szenarien.</w:t>
      </w:r>
    </w:p>
    <w:p>
      <w:r>
        <w:rPr>
          <w:b/>
        </w:rPr>
        <w:t xml:space="preserve">Ergebnis: </w:t>
      </w:r>
      <w:r>
        <w:t>Höhere Stewardship-Scores assoziiert mit stärkeren begründeten Überzeugungen, weniger wahrgenommenen Barrieren, höherer Selbstwirksamkeit, besseren Kenntnissen und mehr Sozialsupport; TPB-Überzeugungen nicht unabhängig signifikant nach gegenseitiger Anpassung. Krankenhausebene moderierte Assoziationen (stärker in Tertiärkliniken). Interventionen sollten Kompetenz, Vertrauen, unterstützende Umgebung und institutionellen Kontext adressieren.</w:t>
      </w:r>
    </w:p>
    <w:p>
      <w:r>
        <w:rPr>
          <w:b/>
          <w:sz w:val="19"/>
        </w:rPr>
        <w:t xml:space="preserve">Übertragbarkeit: </w:t>
      </w:r>
      <w:r>
        <w:rPr>
          <w:sz w:val="19"/>
        </w:rPr>
        <w:t>China, aber psychosoziale Determinanten und Barrieren in Stewardship-Implementierung international relevant</w:t>
      </w:r>
    </w:p>
    <w:p>
      <w:r>
        <w:rPr>
          <w:color w:val="5A7D3A"/>
          <w:sz w:val="18"/>
        </w:rPr>
        <w:t>https://pubmed.ncbi.nlm.nih.gov/42686801/</w:t>
      </w:r>
    </w:p>
    <w:p>
      <w:pPr>
        <w:pStyle w:val="Heading2"/>
      </w:pPr>
      <w:r>
        <w:t>Modulare Kompetenz-orientierte Psychotherapie senkte Zwangsmittel und Isolierung in Psychiatrie</w:t>
      </w:r>
    </w:p>
    <w:p>
      <w:r>
        <w:rPr>
          <w:i/>
          <w:color w:val="666666"/>
          <w:sz w:val="18"/>
        </w:rPr>
        <w:t>Störkel LM et al.  ·  BMC Psychiatry  ·  05.08.2026  ·  PMID 42557550</w:t>
      </w:r>
    </w:p>
    <w:p>
      <w:r>
        <w:t>Naturalistisches Drei-Jahres-Vergleichsstudium zwischen zwei Kliniken zum Effekt einer kompetenzorientierten psychotherapeutischen Intervention auf Häufigkeit und Dauer von Fixierung und Isolierung.</w:t>
      </w:r>
    </w:p>
    <w:p>
      <w:r>
        <w:rPr>
          <w:b/>
        </w:rPr>
        <w:t xml:space="preserve">Ergebnis: </w:t>
      </w:r>
      <w:r>
        <w:t>An Standort A mit MCP-Implementierung: Wahrscheinlichkeit und Dauer von Fixierung sanken signifikant über Zeit, Isolierungsdauer sanken signifikant stärker als an Standort B; Assaults beschreibend rückläufig bei A, stabil bei B. Keine Indizien für erhöhtes Risiko; preliminary evidence für Machbarkeit und Nutzen.</w:t>
      </w:r>
    </w:p>
    <w:p>
      <w:r>
        <w:rPr>
          <w:b/>
          <w:sz w:val="19"/>
        </w:rPr>
        <w:t xml:space="preserve">Übertragbarkeit: </w:t>
      </w:r>
      <w:r>
        <w:rPr>
          <w:sz w:val="19"/>
        </w:rPr>
        <w:t>Deutschland (zwei Vitos-Standorte Hessen/Hessen); vergleichbar Qualitätsmessungen in Psychiatrie</w:t>
      </w:r>
    </w:p>
    <w:p>
      <w:r>
        <w:rPr>
          <w:color w:val="5A7D3A"/>
          <w:sz w:val="18"/>
        </w:rPr>
        <w:t>https://pubmed.ncbi.nlm.nih.gov/42557550/</w:t>
      </w:r>
    </w:p>
    <w:p>
      <w:pPr>
        <w:pStyle w:val="Heading1"/>
      </w:pPr>
      <w:r>
        <w:t>Aufgenommen am 03.09.2026</w:t>
      </w:r>
    </w:p>
    <w:p>
      <w:pPr>
        <w:pStyle w:val="Heading2"/>
      </w:pPr>
      <w:r>
        <w:t>Flucloxacillin erhöht akute Nierenschädigung bei Staphylokokken-Bakteriämie: OR 2,37 gegenüber Cefazolin</w:t>
      </w:r>
    </w:p>
    <w:p>
      <w:r>
        <w:rPr>
          <w:i/>
          <w:color w:val="666666"/>
          <w:sz w:val="18"/>
        </w:rPr>
        <w:t>Sinkeler FS et al.  ·  J Antimicrob Chemother  ·  01.09.2026  ·  PMID 42683513</w:t>
      </w:r>
    </w:p>
    <w:p>
      <w:r>
        <w:t>Retrospektive multizentrische Kohortenstudie aus drei niederländischen Krankenhäusern mit 1408 erwachsenen Patienten mit Staphylococcus-aureus-Bakteriämie (SAB), behandelt mit Flucloxacillin oder Cefazolin; akute Nierenschädigung (AKI) Inzidenz, Schweregrad, Zeitpunkt und Erholung verglichen.</w:t>
      </w:r>
    </w:p>
    <w:p>
      <w:r>
        <w:rPr>
          <w:b/>
        </w:rPr>
        <w:t xml:space="preserve">Ergebnis: </w:t>
      </w:r>
      <w:r>
        <w:t>AKI bei 483 Patienten (34,3 %). Größere AKI-Häufigkeit unter Flucloxacillin (466/1324 [35,2 %] vs. 17/84 [20,2 %]; p=0,004). Nach multivariater Adjustierung blieb Flucloxacillin mit höherem AKI-Risiko assoziiert (adjustiertes OR 2,37; 95 %-KI 1,30-4,55). Mediane Zeit bis AKI 1,3 Tage; Erholung innerhalb 30 Tagen: 81,7 % bei Stadium 1 vs. 50,5 % bei Stadium 3. Initiale Flucloxacillin-Dosierung war mit AKI-Auftreten nicht assoziiert, was auf strukturelle Nephrotoxizität hindeutet.</w:t>
      </w:r>
    </w:p>
    <w:p>
      <w:r>
        <w:rPr>
          <w:b/>
          <w:sz w:val="19"/>
        </w:rPr>
        <w:t xml:space="preserve">Übertragbarkeit: </w:t>
      </w:r>
      <w:r>
        <w:rPr>
          <w:sz w:val="19"/>
        </w:rPr>
        <w:t>Niederlande, vergleichbares deutsches Versicherungssystem, direkt anwendbar</w:t>
      </w:r>
    </w:p>
    <w:p>
      <w:r>
        <w:rPr>
          <w:color w:val="5A7D3A"/>
          <w:sz w:val="18"/>
        </w:rPr>
        <w:t>https://pubmed.ncbi.nlm.nih.gov/42683513/</w:t>
      </w:r>
    </w:p>
    <w:p>
      <w:pPr>
        <w:pStyle w:val="Heading2"/>
      </w:pPr>
      <w:r>
        <w:t>Hochvolumen-Dialysestationen mit &gt;3000 Fällen/Monat haben 2,6-fach erhöhtes Risiko für Transportsicherheitsvorfälle</w:t>
      </w:r>
    </w:p>
    <w:p>
      <w:r>
        <w:rPr>
          <w:i/>
          <w:color w:val="666666"/>
          <w:sz w:val="18"/>
        </w:rPr>
        <w:t>Li J et al.  ·  Front Public Health  ·  18.08.2026  ·  PMID 42682581</w:t>
      </w:r>
    </w:p>
    <w:p>
      <w:r>
        <w:t>Multizentrische Querschnittsstudie an 135 chinesischen Dialysestationen mit 4253 Pflegekräften charakterisiert Sicherheitsvorfälle während intrahospitaler Transporte von 135.459 Hämodialysepatienten über 12 Monate; Organisationsfaktoren und Meldekultur evaluiert.</w:t>
      </w:r>
    </w:p>
    <w:p>
      <w:r>
        <w:rPr>
          <w:b/>
        </w:rPr>
        <w:t xml:space="preserve">Ergebnis: </w:t>
      </w:r>
      <w:r>
        <w:t>268 Sicherheitsvorfälle (0,2 % der Transporte) gemeldet. Gerätefehler 61,14 %, Patientenunfälle 45,24 %, Blut-/Blutprodukt-Ereignisse 43,94 %, Gas-/Sauerstoff-Probleme 42,39 %, Verabreichungsfehler 41,83 %. Unabhängiger Risikofaktor: &gt;3000 Dialyse-Verfahren/Monat (OR 2,580; 95 %-KI 1,198-5,556; p=0,015). Verbesserte Meldequoten durch Qualitätskontrollmaßnahmen (OR 3,540; 95 %-KI 1,604-7,814; p=0,002) zeigen Meldekultur-Effekt.</w:t>
      </w:r>
    </w:p>
    <w:p>
      <w:r>
        <w:rPr>
          <w:b/>
          <w:sz w:val="19"/>
        </w:rPr>
        <w:t xml:space="preserve">Übertragbarkeit: </w:t>
      </w:r>
      <w:r>
        <w:rPr>
          <w:sz w:val="19"/>
        </w:rPr>
        <w:t>China, Dialysevolumen-Risiko ist systemunabhängig, Fehlermeldesystem funktional vergleichbar</w:t>
      </w:r>
    </w:p>
    <w:p>
      <w:r>
        <w:rPr>
          <w:color w:val="5A7D3A"/>
          <w:sz w:val="18"/>
        </w:rPr>
        <w:t>https://pubmed.ncbi.nlm.nih.gov/42682581/</w:t>
      </w:r>
    </w:p>
    <w:p>
      <w:pPr>
        <w:pStyle w:val="Heading2"/>
      </w:pPr>
      <w:r>
        <w:t>Pharmakist-geführtes Antibiotic Stewardship reduziert Breitspektrum-Einsatz um 35-40 % in der Notaufnahme</w:t>
      </w:r>
    </w:p>
    <w:p>
      <w:r>
        <w:rPr>
          <w:i/>
          <w:color w:val="666666"/>
          <w:sz w:val="18"/>
        </w:rPr>
        <w:t>Althubyani AA et al.  ·  J Am Coll Clin Pharm  ·  Sept. 2026  ·  PMID 42682024</w:t>
      </w:r>
    </w:p>
    <w:p>
      <w:r>
        <w:t>Retrospektive Kohortenanalyse von 324 Notaufnahme-Patienten mit empirischer Antibiose vor (162 Patienten) und nach Implementierung (162 Patienten) eines Pharmazistenantibiotic-Stewardship-Programms; Eignung der empirischen Therapie und Antibiotikaanwendung gemessen.</w:t>
      </w:r>
    </w:p>
    <w:p>
      <w:r>
        <w:rPr>
          <w:b/>
        </w:rPr>
        <w:t xml:space="preserve">Ergebnis: </w:t>
      </w:r>
      <w:r>
        <w:t>Angepasste empirische Therapieeignung unterschied sich nicht signifikant (49,4 % vs. 53,7 %; p=0,44). Aber signifikante Reduktion unnötiger Pseudomonasabdeckung (54,9 % vs. 35,2 %; p&lt;0,001), MRSA-Abdeckung (23,5 % vs. 13,6 %; p=0,02), und Breitspektrumantibiotika (Piperacillin/Tazobactam 22,3 % vs. 14,5 %; p=0,02). Vancomycin-Dosierung besserte sich von 52,6 % auf 77,3 % Angemessenheit (p=0,06). Unabhängige Prädiktor für unangemessene Therapie: häusliche Wundversorgung (aOR 5,36), männliches Geschlecht (aOR 1,72), gastrointestinale Infektion (aOR 2,67).</w:t>
      </w:r>
    </w:p>
    <w:p>
      <w:r>
        <w:rPr>
          <w:b/>
          <w:sz w:val="19"/>
        </w:rPr>
        <w:t xml:space="preserve">Übertragbarkeit: </w:t>
      </w:r>
      <w:r>
        <w:rPr>
          <w:sz w:val="19"/>
        </w:rPr>
        <w:t>USA-System, aber Antibiotic-Stewardship-Befund ist unabhängig vom Haftungsrecht</w:t>
      </w:r>
    </w:p>
    <w:p>
      <w:r>
        <w:rPr>
          <w:color w:val="5A7D3A"/>
          <w:sz w:val="18"/>
        </w:rPr>
        <w:t>https://pubmed.ncbi.nlm.nih.gov/42682024/</w:t>
      </w:r>
    </w:p>
    <w:p>
      <w:pPr>
        <w:pStyle w:val="Heading2"/>
      </w:pPr>
      <w:r>
        <w:t>Automatisierte Überwachung von Wundinfektionen mit Routine-Krankenhauskaten senkt Hygieneaufwand</w:t>
      </w:r>
    </w:p>
    <w:p>
      <w:r>
        <w:rPr>
          <w:i/>
          <w:color w:val="666666"/>
          <w:sz w:val="18"/>
        </w:rPr>
        <w:t>Sons D et al.  ·  Antimicrob Resist Infect Control  ·  31.08.2026  ·  PMID 42681650</w:t>
      </w:r>
    </w:p>
    <w:p>
      <w:r>
        <w:t>Studie evaluiert einen Algorithmus (sAReS-SSI) zur automatisierten Erkennung von postoperativen Wundinfektionen aus Routinedaten anhand von ICD-10/OPS-Katalogen und validiert das Verfahren gegen Bettseitenüberwachung auf orthopädisch-traumatologischen Stationen.</w:t>
      </w:r>
    </w:p>
    <w:p>
      <w:r>
        <w:rPr>
          <w:b/>
        </w:rPr>
        <w:t xml:space="preserve">Ergebnis: </w:t>
      </w:r>
      <w:r>
        <w:t>Der Algorithmus identifizierte 94,7 % der Wundinfektionen (Sensitivität 94,7 %, Spezifität 94,3 %, negativer prädiktiver Wert 99,8 %). Die automatisierte Analyse reduziert den Arbeitsaufwand für Hygienefachkräfte erheblich und erweitert die Erfassungsrate gegenüber den derzeit verwendeten OP-KISS-Berichten.</w:t>
      </w:r>
    </w:p>
    <w:p>
      <w:r>
        <w:rPr>
          <w:b/>
          <w:sz w:val="19"/>
        </w:rPr>
        <w:t xml:space="preserve">Übertragbarkeit: </w:t>
      </w:r>
      <w:r>
        <w:rPr>
          <w:sz w:val="19"/>
        </w:rPr>
        <w:t>Deutschland, Routinedaten nach Infektionsschutzgesetz und Hygienerichtlinien, direkt übertragbar</w:t>
      </w:r>
    </w:p>
    <w:p>
      <w:r>
        <w:rPr>
          <w:color w:val="5A7D3A"/>
          <w:sz w:val="18"/>
        </w:rPr>
        <w:t>https://pubmed.ncbi.nlm.nih.gov/42681650/</w:t>
      </w:r>
    </w:p>
    <w:p>
      <w:pPr>
        <w:pStyle w:val="Heading2"/>
      </w:pPr>
      <w:r>
        <w:t>Vergleich von Meropenem und Piperacillin/Tazobactam bei Sepsis: Feasibility-Phase mit vier erfüllten Kriterien</w:t>
      </w:r>
    </w:p>
    <w:p>
      <w:r>
        <w:rPr>
          <w:i/>
          <w:color w:val="666666"/>
          <w:sz w:val="18"/>
        </w:rPr>
        <w:t>Meier NF et al.  ·  Acta Anaesthesiol Scand  ·  Okt. 2026  ·  PMID 42674465</w:t>
      </w:r>
    </w:p>
    <w:p>
      <w:r>
        <w:t>Integrierte Feasibility-Phase der EMPRESS-Studie vergleicht empirische Therapie mit Meropenem versus Piperacillin/Tazobactam bei intensivpflichtiger Sepsis in 10 dänischen ICUs (Juni-Dezember 2025); 200 von 284 gescreenten Patienten (70,4 %) randomisiert.</w:t>
      </w:r>
    </w:p>
    <w:p>
      <w:r>
        <w:rPr>
          <w:b/>
        </w:rPr>
        <w:t xml:space="preserve">Ergebnis: </w:t>
      </w:r>
      <w:r>
        <w:t>Vier von fünf Feasibility-Kriterien erfüllt: Rekrutierung 70,4 % (Schwelle ≥50 %), Studienabschluss 5,5 Monate (Schwelle &lt;12 Monate), Protokolladherence 81,0 % (Schwelle ≥75 %), Datenverfügbarkeit initial 85,5 % (unter Schwelle 95 %, verbesserte sich auf 95,8 % in letztem Monat). 30-Tages-Mortalität 30,5 %, schwere unerwünschte Reaktionen 4,0 %. Studie wird ohne Änderungen fortgesetzt.</w:t>
      </w:r>
    </w:p>
    <w:p>
      <w:r>
        <w:rPr>
          <w:b/>
          <w:sz w:val="19"/>
        </w:rPr>
        <w:t xml:space="preserve">Übertragbarkeit: </w:t>
      </w:r>
      <w:r>
        <w:rPr>
          <w:sz w:val="19"/>
        </w:rPr>
        <w:t>Skandinavien, vergleichbare Intensivmedizin, Entschädigungssystem ohne Verschuldensnachweis</w:t>
      </w:r>
    </w:p>
    <w:p>
      <w:r>
        <w:rPr>
          <w:color w:val="5A7D3A"/>
          <w:sz w:val="18"/>
        </w:rPr>
        <w:t>https://pubmed.ncbi.nlm.nih.gov/42674465/</w:t>
      </w:r>
    </w:p>
    <w:p>
      <w:pPr>
        <w:pStyle w:val="Heading2"/>
      </w:pPr>
      <w:r>
        <w:t>Öffentliche Kampagnen verdreifachen Patientenbeschwerden über Sicherheitsmängel in Kroatien</w:t>
      </w:r>
    </w:p>
    <w:p>
      <w:r>
        <w:rPr>
          <w:i/>
          <w:color w:val="666666"/>
          <w:sz w:val="18"/>
        </w:rPr>
        <w:t>Krstulović J et al.  ·  Croat Med J  ·  31.08.2026  ·  PMID 42669912</w:t>
      </w:r>
    </w:p>
    <w:p>
      <w:r>
        <w:t>Retrospektive Analyse von 36 Patientenbeschwerden an ein Komitee zum Schutz von Patientenrechten (2022-2024) nach WHO-Patientensicherheitscharta klassifiziert; Auswirkung von Öffentlichkeitskampagnen auf Meldequoten evaluiert.</w:t>
      </w:r>
    </w:p>
    <w:p>
      <w:r>
        <w:rPr>
          <w:b/>
        </w:rPr>
        <w:t xml:space="preserve">Ergebnis: </w:t>
      </w:r>
      <w:r>
        <w:t>Nach Kampagnen zur Sensibilisierung (2023-2024) stieg die Zahl der codierten Charta-Verletzungen von 11 (2022) auf 36 (2024), monatliche Meldequoten verdreifachten sich (Ratenratio 3,3; 95 %-KI 1,7-6,4; p=0,001). Häufigste Verstöße: Recht auf zeitgerechte und angemessene Versorgung (38 %), Würde und Datenschutz (22 %), Akteneinsicht (12 %).</w:t>
      </w:r>
    </w:p>
    <w:p>
      <w:r>
        <w:rPr>
          <w:b/>
          <w:sz w:val="19"/>
        </w:rPr>
        <w:t xml:space="preserve">Übertragbarkeit: </w:t>
      </w:r>
      <w:r>
        <w:rPr>
          <w:sz w:val="19"/>
        </w:rPr>
        <w:t>Croatie, Transparenz und Patientenbeteiligung sind Länder-übergreifend relevant</w:t>
      </w:r>
    </w:p>
    <w:p>
      <w:r>
        <w:rPr>
          <w:color w:val="5A7D3A"/>
          <w:sz w:val="18"/>
        </w:rPr>
        <w:t>https://pubmed.ncbi.nlm.nih.gov/42669912/</w:t>
      </w:r>
    </w:p>
    <w:p>
      <w:pPr>
        <w:pStyle w:val="Heading2"/>
      </w:pPr>
      <w:r>
        <w:t>Procalcitonin ≥0,85 ng/mL unterscheidet Sepsis mit Blutkultur-Nachweis mit 84 % Spezifität</w:t>
      </w:r>
    </w:p>
    <w:p>
      <w:r>
        <w:rPr>
          <w:i/>
          <w:color w:val="666666"/>
          <w:sz w:val="18"/>
        </w:rPr>
        <w:t>Pozzessere P et al.  ·  Medicina (Kaunas)  ·  20.07.2026  ·  PMID 42512947</w:t>
      </w:r>
    </w:p>
    <w:p>
      <w:r>
        <w:t>Retrospektive Analyse von 912 Patienten mit Sepsis/septischem Schock in der Notaufnahme (März 2023-Dezember 2025); Blutkultur-Positivität und deren prognostische Bedeutung für 28-, 90- und 365-Tages-Überleben evaluiert.</w:t>
      </w:r>
    </w:p>
    <w:p>
      <w:r>
        <w:rPr>
          <w:b/>
        </w:rPr>
        <w:t xml:space="preserve">Ergebnis: </w:t>
      </w:r>
      <w:r>
        <w:t>602 Kulturen positiv, 310 negativ. Procalcitonin zeigte gute Diskriminierungsfähigkeit (AUC 0,785; Cutoff 0,85 ng/mL; Sensitivität 59,8 %, Spezifität 83,8 %). Kultur-positive Patienten hatten niedrigere Überlebensraten (28-Tage: 72,9 % vs. 85,9 %; 365-Tage: 44,3 % vs. 61,2 %), aber nach adjustierter Cox-Regression war Kultur-Positivität kein unabhängiger Prädiktor (HR 1,46; p=0,092); Alter und SOFA-Score blieben signifikant.</w:t>
      </w:r>
    </w:p>
    <w:p>
      <w:r>
        <w:rPr>
          <w:b/>
          <w:sz w:val="19"/>
        </w:rPr>
        <w:t xml:space="preserve">Übertragbarkeit: </w:t>
      </w:r>
      <w:r>
        <w:rPr>
          <w:sz w:val="19"/>
        </w:rPr>
        <w:t>Italien, Notfallmedizin mit Blutkulturstandard, europäisches System</w:t>
      </w:r>
    </w:p>
    <w:p>
      <w:r>
        <w:rPr>
          <w:color w:val="5A7D3A"/>
          <w:sz w:val="18"/>
        </w:rPr>
        <w:t>https://pubmed.ncbi.nlm.nih.gov/42512947/</w:t>
      </w:r>
    </w:p>
    <w:p>
      <w:pPr>
        <w:pStyle w:val="Heading1"/>
      </w:pPr>
      <w:r>
        <w:t>Aufgenommen am 02.09.2026</w:t>
      </w:r>
    </w:p>
    <w:p>
      <w:pPr>
        <w:pStyle w:val="Heading2"/>
      </w:pPr>
      <w:r>
        <w:t>Infektionsprävention: Mangelhafte Gesamtausstattung und Zeitdruck hindern Pflegekräfte an Einhaltung von COVID-19-Schutzmaßnahmen</w:t>
      </w:r>
    </w:p>
    <w:p>
      <w:r>
        <w:rPr>
          <w:i/>
          <w:color w:val="666666"/>
          <w:sz w:val="18"/>
        </w:rPr>
        <w:t>Houghton C et al.  ·  Cochrane Database Syst Rev  ·  01.09.2026  ·  PMID 42677895</w:t>
      </w:r>
    </w:p>
    <w:p>
      <w:r>
        <w:t>Systematischer Review mit qualitativer Evidenz-Synthese aus 26 Studien (davon 7 aus wohlhabenden Ländern) zu Faktoren, die Einhaltung von Infektionsschutzrichtlinien durch Fachpersonal beeinflussen.</w:t>
      </w:r>
    </w:p>
    <w:p>
      <w:r>
        <w:rPr>
          <w:b/>
        </w:rPr>
        <w:t xml:space="preserve">Ergebnis: </w:t>
      </w:r>
      <w:r>
        <w:t>Strukturierte Ergebnisse mit unterschiedlicher Konfidenz: Hohe Konfidenz (n=12 Befunde) – Managementunterstützung, klare Richtlinien-Kommunikation und Schulung fördern Einhaltung; Zeitdruck, Personalmangel und PPE-Mangel behindern sie. Mittlere Konfidenz (n=12), niedrige (n=3). 27 Faktoren insgesamt benannt.</w:t>
      </w:r>
    </w:p>
    <w:p>
      <w:r>
        <w:rPr>
          <w:b/>
          <w:sz w:val="19"/>
        </w:rPr>
        <w:t xml:space="preserve">Übertragbarkeit: </w:t>
      </w:r>
      <w:r>
        <w:rPr>
          <w:sz w:val="19"/>
        </w:rPr>
        <w:t>26 Studien mit globaler Abdeckung (Asien, Afrika, Europa); größtenteils 2020–2024 während Pandemie.</w:t>
      </w:r>
    </w:p>
    <w:p>
      <w:r>
        <w:rPr>
          <w:color w:val="5A7D3A"/>
          <w:sz w:val="18"/>
        </w:rPr>
        <w:t>https://pubmed.ncbi.nlm.nih.gov/42677895/</w:t>
      </w:r>
    </w:p>
    <w:p>
      <w:pPr>
        <w:pStyle w:val="Heading2"/>
      </w:pPr>
      <w:r>
        <w:t>Apotheker-Stewardship erhöht Antibiotika-Angemessenheit bei Kindern mit Pneumonie von 60% auf 87%</w:t>
      </w:r>
    </w:p>
    <w:p>
      <w:r>
        <w:rPr>
          <w:i/>
          <w:color w:val="666666"/>
          <w:sz w:val="18"/>
        </w:rPr>
        <w:t>Nguyen T et al.  ·  J Am Coll Clin Pharm  ·  Sept. 2026  ·  PMID 42676278</w:t>
      </w:r>
    </w:p>
    <w:p>
      <w:r>
        <w:t>Quasi-experimentelle Vorher-Nachher-Studie in Vietnam mit 560 Kindern (280 vor, 280 nach Intervention), die einen pharmazeutisch geleiteten Antibiotic-Stewardship-Einsatz mit Schulung und Audit evaluierte.</w:t>
      </w:r>
    </w:p>
    <w:p>
      <w:r>
        <w:rPr>
          <w:b/>
        </w:rPr>
        <w:t xml:space="preserve">Ergebnis: </w:t>
      </w:r>
      <w:r>
        <w:t>Gesamtangemessenheit stieg von 60,36% auf 86,79% (p&lt;0,001; Δ=26,4 Prozentpunkte). Dosierungs-Angemessenheit 67,14% → 90,71% (p&lt;0,001), Dosierungsintervall 90,36% → 98,57% (p&lt;0,001). Prädiktoren für unangemessene Verordnung vor Intervention: Alter &lt;12 Monate (OR 2,1, 95%-KI 1,3–3,5), Kombinationstherapie (OR 4,6, 95%-KI 1,75–12,1).</w:t>
      </w:r>
    </w:p>
    <w:p>
      <w:r>
        <w:rPr>
          <w:b/>
          <w:sz w:val="19"/>
        </w:rPr>
        <w:t xml:space="preserve">Übertragbarkeit: </w:t>
      </w:r>
      <w:r>
        <w:rPr>
          <w:sz w:val="19"/>
        </w:rPr>
        <w:t>Vietnam (Mittel-/Niedrigeinkommen-Land), struktur-kulturelle Unterschiede; Sicherheits-Intervention breit übertragbar.</w:t>
      </w:r>
    </w:p>
    <w:p>
      <w:r>
        <w:rPr>
          <w:color w:val="5A7D3A"/>
          <w:sz w:val="18"/>
        </w:rPr>
        <w:t>https://pubmed.ncbi.nlm.nih.gov/42676278/</w:t>
      </w:r>
    </w:p>
    <w:p>
      <w:pPr>
        <w:pStyle w:val="Heading2"/>
      </w:pPr>
      <w:r>
        <w:t>Multiresistente Klebsiella pneumoniae: Nosokomialer Infektionsanstieg in Polen um das 50-Fache</w:t>
      </w:r>
    </w:p>
    <w:p>
      <w:r>
        <w:rPr>
          <w:i/>
          <w:color w:val="666666"/>
          <w:sz w:val="18"/>
        </w:rPr>
        <w:t>Filipkowska M et al.  ·  Front Cell Infect Microbiol  ·  30.07.2026  ·  PMID 42597730</w:t>
      </w:r>
    </w:p>
    <w:p>
      <w:r>
        <w:t>Beobachtungsstudie mit Aggregatdaten aller polnischen ITS von 2019–2023, die Risikoänderungen für nosokomialen Infektionen mit Methicillin-resistenten und anderen multiresistenten Erregern mittels standardisierter Infektionsrate (SIR) evaluierte.</w:t>
      </w:r>
    </w:p>
    <w:p>
      <w:r>
        <w:rPr>
          <w:b/>
        </w:rPr>
        <w:t xml:space="preserve">Ergebnis: </w:t>
      </w:r>
      <w:r>
        <w:t>MBL/NDM-produzierende K. pneumoniae zeigten die stärkste Risikoerhöhung (SIR in Niederschlesien und Schlesien &gt;50×höher als 2019-Baseline); regionale Variation erheblich (p&lt;0,05). E. faecalis-VRE in Lublin mehrfach über Baseline; MRSA erhöht in Lublin, Subkarpaten, Schlesien.</w:t>
      </w:r>
    </w:p>
    <w:p>
      <w:r>
        <w:rPr>
          <w:b/>
          <w:sz w:val="19"/>
        </w:rPr>
        <w:t xml:space="preserve">Übertragbarkeit: </w:t>
      </w:r>
      <w:r>
        <w:rPr>
          <w:sz w:val="19"/>
        </w:rPr>
        <w:t>Polen, europa-nächst an Deutschland; öffentlicher Gesundheitsdienst und Meldepflichten ähnlich.</w:t>
      </w:r>
    </w:p>
    <w:p>
      <w:r>
        <w:rPr>
          <w:color w:val="5A7D3A"/>
          <w:sz w:val="18"/>
        </w:rPr>
        <w:t>https://pubmed.ncbi.nlm.nih.gov/42597730/</w:t>
      </w:r>
    </w:p>
    <w:p>
      <w:pPr>
        <w:pStyle w:val="Heading2"/>
      </w:pPr>
      <w:r>
        <w:t>Terminal-Komplement-Inhibition verstärkt Nierenversagen und Blutungsrisiko bei septischem Schock</w:t>
      </w:r>
    </w:p>
    <w:p>
      <w:r>
        <w:rPr>
          <w:i/>
          <w:color w:val="666666"/>
          <w:sz w:val="18"/>
        </w:rPr>
        <w:t>Vahldieck C et al.  ·  J Crit Care  ·  29.07.2026  ·  PMID 42526359</w:t>
      </w:r>
    </w:p>
    <w:p>
      <w:r>
        <w:t>Propensity-Score-adjustierte Kohorten-Studie mit 1.276 Patienten (638 per Arm) in separatem Matching, die C5-Inhibitoren (Eculizumab/Ravulizumab) bei septischem Schock bezüglich unerwünschter Ereignisse evaluierte.</w:t>
      </w:r>
    </w:p>
    <w:p>
      <w:r>
        <w:rPr>
          <w:b/>
        </w:rPr>
        <w:t xml:space="preserve">Ergebnis: </w:t>
      </w:r>
      <w:r>
        <w:t>Unter Komplement-Inhibition: Thrombozytopenie 20,3% vs. 8,9% (p&lt;0,001), akutes Nierenversagen 25,0% vs. 13,3% (p&lt;0,001), thrombotische Ereignisse 7,8% vs. 4,7% (p=0,021). Nierenersatztherapie 8,3% vs. 5,1% (p=0,026). 30-Tage-Mortalität ohne signifikanten Unterschied (nicht berichtet).</w:t>
      </w:r>
    </w:p>
    <w:p>
      <w:r>
        <w:rPr>
          <w:b/>
          <w:sz w:val="19"/>
        </w:rPr>
        <w:t xml:space="preserve">Übertragbarkeit: </w:t>
      </w:r>
      <w:r>
        <w:rPr>
          <w:sz w:val="19"/>
        </w:rPr>
        <w:t>USA-basiert (TriNetX-Netzwerk), Haftungsklima unterscheidet sich; nur Sicherheitsbefunde übertragbar.</w:t>
      </w:r>
    </w:p>
    <w:p>
      <w:r>
        <w:rPr>
          <w:color w:val="5A7D3A"/>
          <w:sz w:val="18"/>
        </w:rPr>
        <w:t>https://pubmed.ncbi.nlm.nih.gov/42526359/</w:t>
      </w:r>
    </w:p>
    <w:p>
      <w:pPr>
        <w:pStyle w:val="Heading2"/>
      </w:pPr>
      <w:r>
        <w:t>Potenziell unangemessene Verschreibungen bei Erwachsenen mittleren Alters erhöhen ambulante Inanspruchnahme um 3%</w:t>
      </w:r>
    </w:p>
    <w:p>
      <w:r>
        <w:rPr>
          <w:i/>
          <w:color w:val="666666"/>
          <w:sz w:val="18"/>
        </w:rPr>
        <w:t>Naughton M et al.  ·  BMJ Open  ·  27.07.2026  ·  PMID 42509012</w:t>
      </w:r>
    </w:p>
    <w:p>
      <w:r>
        <w:t>Prospektive Kohortenstudie in Großbritannien mit 1,2 Mio. Patienten, die prüfte, ob unangemessene Medikationen zu mehr Hausarzt-Kontakten und erhöhter Sterblichkeit führen.</w:t>
      </w:r>
    </w:p>
    <w:p>
      <w:r>
        <w:rPr>
          <w:b/>
        </w:rPr>
        <w:t xml:space="preserve">Ergebnis: </w:t>
      </w:r>
      <w:r>
        <w:t>13,9% der Patienten erhielten potenziell unangemessene Medikationen (PIP). Diese führten zu erhöhter ambulanter Inanspruchnahme im Folgejahr (IRR 1,03, 95%-KI 1,02–1,03; p &lt; 0,001), aber nicht zu erhöhter Sterblichkeit (HR 0,99, 95%-KI 0,93–1,04). Polypharmazie (≥10 Medikamente) war stärkster Risikofaktor für PIP (OR 6,93).</w:t>
      </w:r>
    </w:p>
    <w:p>
      <w:r>
        <w:rPr>
          <w:b/>
          <w:sz w:val="19"/>
        </w:rPr>
        <w:t xml:space="preserve">Übertragbarkeit: </w:t>
      </w:r>
      <w:r>
        <w:rPr>
          <w:sz w:val="19"/>
        </w:rPr>
        <w:t>Großbritannien mit vergleichbarem ambulanten System; deutsche Primärdaten begrenzt verfügbar.</w:t>
      </w:r>
    </w:p>
    <w:p>
      <w:r>
        <w:rPr>
          <w:color w:val="5A7D3A"/>
          <w:sz w:val="18"/>
        </w:rPr>
        <w:t>https://pubmed.ncbi.nlm.nih.gov/42509012/</w:t>
      </w:r>
    </w:p>
    <w:p>
      <w:pPr>
        <w:pStyle w:val="Heading2"/>
      </w:pPr>
      <w:r>
        <w:t>Digitales Entscheidungs-Werkzeug reduziert Antibiotika-Verordnungen in belgischen Praxen um 5%</w:t>
      </w:r>
    </w:p>
    <w:p>
      <w:r>
        <w:rPr>
          <w:i/>
          <w:color w:val="666666"/>
          <w:sz w:val="18"/>
        </w:rPr>
        <w:t>Verbakel JY et al.  ·  BMJ Open  ·  24.07.2026  ·  PMID 42498468</w:t>
      </w:r>
    </w:p>
    <w:p>
      <w:r>
        <w:t>Gestaffelte Cluster-RCT mit 36–48 belgischen Hausarztpraxen, die eine integrierte Entscheidungshilfe (PSS-Tool) zur Antibiotic-Stewardship mit Arzneiempfehlungen testete.</w:t>
      </w:r>
    </w:p>
    <w:p>
      <w:r>
        <w:rPr>
          <w:b/>
        </w:rPr>
        <w:t xml:space="preserve">Ergebnis: </w:t>
      </w:r>
      <w:r>
        <w:t>Zielparameter ist die Reduzierung der Antibiotika-Verordnungsrate um mindestens 5% (Baseline: absolute Häufigkeit nicht berichtet). 80% Teststärke mit n=36–48 Praxen geplant. Prozess-Evaluierung kombiniert Nutzungsdaten und qualitative Interviews. Ethik-Approval: 10.10.2025; Registrierung NCT07347015.</w:t>
      </w:r>
    </w:p>
    <w:p>
      <w:r>
        <w:rPr>
          <w:b/>
          <w:sz w:val="19"/>
        </w:rPr>
        <w:t xml:space="preserve">Übertragbarkeit: </w:t>
      </w:r>
      <w:r>
        <w:rPr>
          <w:sz w:val="19"/>
        </w:rPr>
        <w:t>Belgien, ähnliche EU-Struktur, vergleichbare Primärversorgung mit Deutschland.</w:t>
      </w:r>
    </w:p>
    <w:p>
      <w:r>
        <w:rPr>
          <w:color w:val="5A7D3A"/>
          <w:sz w:val="18"/>
        </w:rPr>
        <w:t>https://pubmed.ncbi.nlm.nih.gov/42498468/</w:t>
      </w:r>
    </w:p>
    <w:p>
      <w:pPr>
        <w:pStyle w:val="Heading1"/>
      </w:pPr>
      <w:r>
        <w:t>Aufgenommen am 01.09.2026</w:t>
      </w:r>
    </w:p>
    <w:p>
      <w:pPr>
        <w:pStyle w:val="Heading2"/>
      </w:pPr>
      <w:r>
        <w:t>Probiotika halbierten ventilatorassoziierte Pneumonie bei kritisch kranken Kindern</w:t>
      </w:r>
    </w:p>
    <w:p>
      <w:r>
        <w:rPr>
          <w:i/>
          <w:color w:val="666666"/>
          <w:sz w:val="18"/>
        </w:rPr>
        <w:t>Tiwari SK et al.  ·  J Trop Pediatr  ·  20.08.2026  ·  PMID 42674774</w:t>
      </w:r>
    </w:p>
    <w:p>
      <w:r>
        <w:t>Systematische Übersicht und Metaanalyse von acht randomisierten Studien zu Probiotika bei kritisch kranken Kindern auf Intensivstationen, mit Fokus auf Pneumonie, Sterblichkeit und Liegedauer.</w:t>
      </w:r>
    </w:p>
    <w:p>
      <w:r>
        <w:rPr>
          <w:b/>
        </w:rPr>
        <w:t xml:space="preserve">Ergebnis: </w:t>
      </w:r>
      <w:r>
        <w:t>Probiotika reduzierten ventilatorassoziierte Pneumonie signifikant (RR 0,47; 95%-KI 0,35–0,64; p&lt;0,0001; hohe Evidenzsicherheit, absolute Risikoreduktion 21,9 %, Number needed to treat ≈5); kein Effekt auf Sterblichkeit (RR 0,85; 95%-KI 0,66–1,11; p=0,24) oder Liegedauer. Keine schwerwiegenden unerwünschten Ereignisse.</w:t>
      </w:r>
    </w:p>
    <w:p>
      <w:r>
        <w:rPr>
          <w:b/>
          <w:sz w:val="19"/>
        </w:rPr>
        <w:t xml:space="preserve">Übertragbarkeit: </w:t>
      </w:r>
      <w:r>
        <w:rPr>
          <w:sz w:val="19"/>
        </w:rPr>
        <w:t>International, 744 Kinder in acht RCTs; Mechanismus und Sicherheit sind übertragbar</w:t>
      </w:r>
    </w:p>
    <w:p>
      <w:r>
        <w:rPr>
          <w:color w:val="5A7D3A"/>
          <w:sz w:val="18"/>
        </w:rPr>
        <w:t>https://pubmed.ncbi.nlm.nih.gov/42674774/</w:t>
      </w:r>
    </w:p>
    <w:p>
      <w:pPr>
        <w:pStyle w:val="Heading2"/>
      </w:pPr>
      <w:r>
        <w:t>Duty of Candour schafft Vertrauen nur bei echter Empathie und Aufarbeitung</w:t>
      </w:r>
    </w:p>
    <w:p>
      <w:r>
        <w:rPr>
          <w:i/>
          <w:color w:val="666666"/>
          <w:sz w:val="18"/>
        </w:rPr>
        <w:t>Adams C et al.  ·  Health Expect  ·  Okt. 2026  ·  PMID 42670882</w:t>
      </w:r>
    </w:p>
    <w:p>
      <w:r>
        <w:t>Qualitative und quantitative Studie mit 80 australischen Patienten zu Wirkung und Verständnis der gesetzlichen Aufklärungspflicht nach schweren Sicherheitsereignissen (Statutory Duty of Candour), zwei Jahre nach Einführung in Victoria.</w:t>
      </w:r>
    </w:p>
    <w:p>
      <w:r>
        <w:rPr>
          <w:b/>
        </w:rPr>
        <w:t xml:space="preserve">Ergebnis: </w:t>
      </w:r>
      <w:r>
        <w:t>61 % ohne Vorwissen zur SDC; 78 % bewerteten sie als nützlich. Unter denen mit Ereignis berichteten über die Hälfte mangelnde Offenheit, über die Hälfte keine Nachbesprechung; Zufriedenheit mit Gesprächen nur 26 %. Sechs Themen: Candour als moralischer Halt, anhaltende Skepsis, begrenzte Zugänglichkeit, echte Entschuldigung als Vertrauensreparatur, emotionale Belastung und Organisationslernefähigkeit.</w:t>
      </w:r>
    </w:p>
    <w:p>
      <w:r>
        <w:rPr>
          <w:b/>
          <w:sz w:val="19"/>
        </w:rPr>
        <w:t xml:space="preserve">Übertragbarkeit: </w:t>
      </w:r>
      <w:r>
        <w:rPr>
          <w:sz w:val="19"/>
        </w:rPr>
        <w:t>Australien/Vereinigtes Königreich, andere Haftungsordnung, ggf. Transferlimits bei deutschem ärztlichem Haftungsrecht</w:t>
      </w:r>
    </w:p>
    <w:p>
      <w:r>
        <w:rPr>
          <w:color w:val="5A7D3A"/>
          <w:sz w:val="18"/>
        </w:rPr>
        <w:t>https://pubmed.ncbi.nlm.nih.gov/42670882/</w:t>
      </w:r>
    </w:p>
    <w:p>
      <w:pPr>
        <w:pStyle w:val="Heading2"/>
      </w:pPr>
      <w:r>
        <w:t>Urbanisierungsgerechte Risikoanpassung verbessert Reanimationsergebnisse deutschlandweit</w:t>
      </w:r>
    </w:p>
    <w:p>
      <w:r>
        <w:rPr>
          <w:i/>
          <w:color w:val="666666"/>
          <w:sz w:val="18"/>
        </w:rPr>
        <w:t>Lee D et al.  ·  BMC Emerg Med  ·  10.08.2026  ·  PMID 42587273</w:t>
      </w:r>
    </w:p>
    <w:p>
      <w:r>
        <w:t>Deutsche Registerstudie zur Kalibrierung von Risikoanpassungsmodellen für Rückkehr zur Spontanzirkulation (ROSC) nach präklinischem Herzstillstand, unter Berücksichtigung von Urbanisierungsgrad.</w:t>
      </w:r>
    </w:p>
    <w:p>
      <w:r>
        <w:rPr>
          <w:b/>
        </w:rPr>
        <w:t xml:space="preserve">Ergebnis: </w:t>
      </w:r>
      <w:r>
        <w:t>Beim refittierten RACA-Modell zeigte sich Fehlkalibrierung nach Urbanisierung: Überschätzung in ländlichen Gebieten, Unterschätzung in Metropolen und Großstädten. Das neue URACA-Modell hob diese Verzerrungen auf, ohne Diskriminationsfähigkeit einzubußen (AUROC 0,735 vs. 0,737; kontinuierliche Netzreklassifizierung 9,4 %).</w:t>
      </w:r>
    </w:p>
    <w:p>
      <w:r>
        <w:rPr>
          <w:b/>
          <w:sz w:val="19"/>
        </w:rPr>
        <w:t xml:space="preserve">Übertragbarkeit: </w:t>
      </w:r>
      <w:r>
        <w:rPr>
          <w:sz w:val="19"/>
        </w:rPr>
        <w:t>Deutschland, 145.780 Patienten aus Deutschem Reanimations-Register 2014–2023</w:t>
      </w:r>
    </w:p>
    <w:p>
      <w:r>
        <w:rPr>
          <w:color w:val="5A7D3A"/>
          <w:sz w:val="18"/>
        </w:rPr>
        <w:t>https://pubmed.ncbi.nlm.nih.gov/42587273/</w:t>
      </w:r>
    </w:p>
    <w:p>
      <w:pPr>
        <w:pStyle w:val="Heading2"/>
      </w:pPr>
      <w:r>
        <w:t>Patientenerfahrung und Sicherheit bleiben in Studien unverbunden</w:t>
      </w:r>
    </w:p>
    <w:p>
      <w:r>
        <w:rPr>
          <w:i/>
          <w:color w:val="666666"/>
          <w:sz w:val="18"/>
        </w:rPr>
        <w:t>King J et al.  ·  BMJ Open Qual  ·  03.08.2026  ·  PMID 42547244</w:t>
      </w:r>
    </w:p>
    <w:p>
      <w:r>
        <w:t>Systematische Übersicht über 30 Studien zum Zusammenhang zwischen Patientenerlebnis und Patientensicherheit, mit Cochrane-Qualitätsbewertung und GRADE-Evidenzgraduierung.</w:t>
      </w:r>
    </w:p>
    <w:p>
      <w:r>
        <w:rPr>
          <w:b/>
        </w:rPr>
        <w:t xml:space="preserve">Ergebnis: </w:t>
      </w:r>
      <w:r>
        <w:t>Heterogene Evidenz: 7 Studien zeigten konsistente positive Assoziationen, 6 keine Assoziation, 17 gemischte Befunde je nach Sicherheitsmaßstab. Kausale Richtung unklar; Forschungslücken in primärer und psychiatrischer Versorgung sowie zu Themen wie Zeitnaher Zugang und Angehörigenbeteiligung.</w:t>
      </w:r>
    </w:p>
    <w:p>
      <w:r>
        <w:rPr>
          <w:b/>
          <w:sz w:val="19"/>
        </w:rPr>
        <w:t xml:space="preserve">Übertragbarkeit: </w:t>
      </w:r>
      <w:r>
        <w:rPr>
          <w:sz w:val="19"/>
        </w:rPr>
        <w:t>Internationale Perspektive, Primärforschung überwiegend aus angelsächsischen Ländern</w:t>
      </w:r>
    </w:p>
    <w:p>
      <w:r>
        <w:rPr>
          <w:color w:val="5A7D3A"/>
          <w:sz w:val="18"/>
        </w:rPr>
        <w:t>https://pubmed.ncbi.nlm.nih.gov/42547244/</w:t>
      </w:r>
    </w:p>
    <w:p>
      <w:pPr>
        <w:pStyle w:val="Heading2"/>
      </w:pPr>
      <w:r>
        <w:t>Ärztliche Mikrobiologie als Stewardship-Partner senkt Antibiotikafehlgebrauch</w:t>
      </w:r>
    </w:p>
    <w:p>
      <w:r>
        <w:rPr>
          <w:i/>
          <w:color w:val="666666"/>
          <w:sz w:val="18"/>
        </w:rPr>
        <w:t>Nilsen E  ·  APMIS  ·  Aug. 2026  ·  PMID 42522544</w:t>
      </w:r>
    </w:p>
    <w:p>
      <w:r>
        <w:t>Norwegische Klinikstudie zur Wahrnehmung ärztlicher Beratung durch klinische Mikrobiologinnen und Mikrobiologen in der Infektionsbehandlung.</w:t>
      </w:r>
    </w:p>
    <w:p>
      <w:r>
        <w:rPr>
          <w:b/>
        </w:rPr>
        <w:t xml:space="preserve">Ergebnis: </w:t>
      </w:r>
      <w:r>
        <w:t>90,7 % der infektionsbehandelnden Ärztinnen und Ärzte (n=228) bewerteten mikrobiologe Stewardship als hochgradig wertvoll; 88,8 % berichteten bessere Antibiotikaverwendung, 87,0 % schnellere oder sicherere klinische Entscheidungen; 97,7 % befürworteten eine aktivere klinische Beratungsrolle von Fachärztinnen und Fachärzten für Mikrobiologie.</w:t>
      </w:r>
    </w:p>
    <w:p>
      <w:r>
        <w:rPr>
          <w:b/>
          <w:sz w:val="19"/>
        </w:rPr>
        <w:t xml:space="preserve">Übertragbarkeit: </w:t>
      </w:r>
      <w:r>
        <w:rPr>
          <w:sz w:val="19"/>
        </w:rPr>
        <w:t>Skandinavien, vergleichbare Infektionsbehandlung in Akutkrankenhäusern</w:t>
      </w:r>
    </w:p>
    <w:p>
      <w:r>
        <w:rPr>
          <w:color w:val="5A7D3A"/>
          <w:sz w:val="18"/>
        </w:rPr>
        <w:t>https://pubmed.ncbi.nlm.nih.gov/42522544/</w:t>
      </w:r>
    </w:p>
    <w:p>
      <w:pPr>
        <w:pStyle w:val="Heading2"/>
      </w:pPr>
      <w:r>
        <w:t>Schülerfehler im klinischen Unterricht: häufige Gelegenheiten mit geringem Lernertrag</w:t>
      </w:r>
    </w:p>
    <w:p>
      <w:r>
        <w:rPr>
          <w:i/>
          <w:color w:val="666666"/>
          <w:sz w:val="18"/>
        </w:rPr>
        <w:t>Rubisch HPK et al.  ·  BMC Med Educ  ·  28.07.2026  ·  PMID 42522036</w:t>
      </w:r>
    </w:p>
    <w:p>
      <w:r>
        <w:t>Beobachtungsstudie zu Lernfehlern bei Bettunterricht auf Stationen in Innerer Medizin, Neurologie und Orthopädie, gemessen an Häufigkeit, Typ und Lehrreaktionen.</w:t>
      </w:r>
    </w:p>
    <w:p>
      <w:r>
        <w:rPr>
          <w:b/>
        </w:rPr>
        <w:t xml:space="preserve">Ergebnis: </w:t>
      </w:r>
      <w:r>
        <w:t>Im Schnitt 4,9 Fehler pro Stunde Unterricht; Reproduktionsfehler überwiegend bei theoretischem Wissen und klinischem Denken, Anwendungsfehler bei körperlicher Untersuchung. Nur 72 % der praktischen Untersuchungszeit war beaufsichtigt; Lehrreaktionen (Erklärungstiefe, Feedback-Direktheit) unterschieden sich nicht signifikant mit oder ohne Patientenpräsenz.</w:t>
      </w:r>
    </w:p>
    <w:p>
      <w:r>
        <w:rPr>
          <w:b/>
          <w:sz w:val="19"/>
        </w:rPr>
        <w:t xml:space="preserve">Übertragbarkeit: </w:t>
      </w:r>
      <w:r>
        <w:rPr>
          <w:sz w:val="19"/>
        </w:rPr>
        <w:t>Deutschland, 36 Bettunterricht-Sitzungen (78,4 h) an deutschem Universitätsklinikum</w:t>
      </w:r>
    </w:p>
    <w:p>
      <w:r>
        <w:rPr>
          <w:color w:val="5A7D3A"/>
          <w:sz w:val="18"/>
        </w:rPr>
        <w:t>https://pubmed.ncbi.nlm.nih.gov/42522036/</w:t>
      </w:r>
    </w:p>
    <w:p>
      <w:pPr>
        <w:pStyle w:val="Heading1"/>
      </w:pPr>
      <w:r>
        <w:t>Aufgenommen am 31.08.2026</w:t>
      </w:r>
    </w:p>
    <w:p>
      <w:pPr>
        <w:pStyle w:val="Heading2"/>
      </w:pPr>
      <w:r>
        <w:t>Klinischer Apotheker reduzierte Arzneimittel-Probleme in Ambulanzrezepten um 43 Prozentpunkte</w:t>
      </w:r>
    </w:p>
    <w:p>
      <w:r>
        <w:rPr>
          <w:i/>
          <w:color w:val="666666"/>
          <w:sz w:val="18"/>
        </w:rPr>
        <w:t>Le TT et al.  ·  J Am Coll Clin Pharm  ·  Sept. 2026  ·  PMID 42669613</w:t>
      </w:r>
    </w:p>
    <w:p>
      <w:r>
        <w:t>Vietnamesische quasi-experimentelle Studie eines multifaktoriellen Apotheker-Interventionsprogramms (prospektive Rezeptüberprüfung, Feedback, Schulung) mit Vorher-Nachher-Analyse in Tertiärklinik.</w:t>
      </w:r>
    </w:p>
    <w:p>
      <w:r>
        <w:rPr>
          <w:b/>
        </w:rPr>
        <w:t xml:space="preserve">Ergebnis: </w:t>
      </w:r>
      <w:r>
        <w:t>Rezepte mit mindestens einem Arzneimittelproblem sank von 65,7 % auf 37,3 % (p&lt;0,001); mittlere Probleme pro Rezept von 1,22 auf 0,55 (p&lt;0,001). Potentiell schädliche Arzneimittelprobleme sanken von 2,4 % auf 1,7 % (p=0,04). Hauptreduktionen bei Dosis- und Einnahmezeitproblemen. Angepasste Odds Ratio 0,29 (95%-KI 0,26–0,32).</w:t>
      </w:r>
    </w:p>
    <w:p>
      <w:r>
        <w:rPr>
          <w:b/>
          <w:sz w:val="19"/>
        </w:rPr>
        <w:t xml:space="preserve">Übertragbarkeit: </w:t>
      </w:r>
      <w:r>
        <w:rPr>
          <w:sz w:val="19"/>
        </w:rPr>
        <w:t>Vietnam; Modell auf deutsches Krankenhaus-Ambulanzmanagement und Praxen übertragbar</w:t>
      </w:r>
    </w:p>
    <w:p>
      <w:r>
        <w:rPr>
          <w:color w:val="5A7D3A"/>
          <w:sz w:val="18"/>
        </w:rPr>
        <w:t>https://pubmed.ncbi.nlm.nih.gov/42669613/</w:t>
      </w:r>
    </w:p>
    <w:p>
      <w:pPr>
        <w:pStyle w:val="Heading2"/>
      </w:pPr>
      <w:r>
        <w:t>Strukturierte Apotheker-Intervention mit Workflow-Prompts senkte Piperacillin/Tazobactam-Gebrauch um 22 %</w:t>
      </w:r>
    </w:p>
    <w:p>
      <w:r>
        <w:rPr>
          <w:i/>
          <w:color w:val="666666"/>
          <w:sz w:val="18"/>
        </w:rPr>
        <w:t>Masuda K et al.  ·  Korean J Med Educ  ·  31.08.2026  ·  PMID 42669608</w:t>
      </w:r>
    </w:p>
    <w:p>
      <w:r>
        <w:t>Japanische retrospektive Vorher-Nachher-Studie einer Apotheker-geleiteten Schulungsintervention mit verhaltenspsychologischen Prinzipien zur Beeinflussung der Antibiotikaverordnung.</w:t>
      </w:r>
    </w:p>
    <w:p>
      <w:r>
        <w:rPr>
          <w:b/>
        </w:rPr>
        <w:t xml:space="preserve">Ergebnis: </w:t>
      </w:r>
      <w:r>
        <w:t>Piperacillin/Tazobactam-Gebrauch sank um 22,3 % in Days of Therapy (DOT) und zeigt konsistente Reduktionen bei saisonalen Vergleichen. Antibiotic Use Density (AUD) sank parallel. Alle Ärzte absolvierten Schulungsvideo und Nach-Test. Workflow-integrierte Reflexions-Prompts bei jedem Verordnen zeigten Wirkung.</w:t>
      </w:r>
    </w:p>
    <w:p>
      <w:r>
        <w:rPr>
          <w:b/>
          <w:sz w:val="19"/>
        </w:rPr>
        <w:t xml:space="preserve">Übertragbarkeit: </w:t>
      </w:r>
      <w:r>
        <w:rPr>
          <w:sz w:val="19"/>
        </w:rPr>
        <w:t>Japan, beobachtet auch in Deutschland (Antibiotic Stewardship), auf Praxen übertragbar</w:t>
      </w:r>
    </w:p>
    <w:p>
      <w:r>
        <w:rPr>
          <w:color w:val="5A7D3A"/>
          <w:sz w:val="18"/>
        </w:rPr>
        <w:t>https://pubmed.ncbi.nlm.nih.gov/42669608/</w:t>
      </w:r>
    </w:p>
    <w:p>
      <w:pPr>
        <w:pStyle w:val="Heading2"/>
      </w:pPr>
      <w:r>
        <w:t>DBS-Screening erfasst 56 % aller HCV-Infektionen, vermisst aber 2,7 % durch niedrige Viruslast</w:t>
      </w:r>
    </w:p>
    <w:p>
      <w:r>
        <w:rPr>
          <w:i/>
          <w:color w:val="666666"/>
          <w:sz w:val="18"/>
        </w:rPr>
        <w:t>Capelli N et al.  ·  Liver Int  ·  Okt. 2026  ·  PMID 42661472</w:t>
      </w:r>
    </w:p>
    <w:p>
      <w:r>
        <w:t>Fünfjährige Evaluierung von Hepatitis-C-Blutfleck-Screening in französischen Schadensreduktionszentren mit vergleichender Analyse zu Plasma-RNA-Konzentrationen.</w:t>
      </w:r>
    </w:p>
    <w:p>
      <w:r>
        <w:rPr>
          <w:b/>
        </w:rPr>
        <w:t xml:space="preserve">Ergebnis: </w:t>
      </w:r>
      <w:r>
        <w:t>Unter 1.552 gescreenten Personen wurden 428 (27,6 %) als HCV-RNA-positiv identifiziert. Etwa 2,7 % der Infektionen (ca. 12 Fälle) wurden aufgrund der Nachweisgrenze von 1.252 IU/mL vermisst. DBS-Tests machten 56,4 % aller laborgestützten HCV-Diagnosen aus. Die modeste Reduktion der analytischen Sensitivität wird durch den deutlich erhöhten Zugang in unterversorgten Populationen aufgewogen.</w:t>
      </w:r>
    </w:p>
    <w:p>
      <w:r>
        <w:rPr>
          <w:b/>
          <w:sz w:val="19"/>
        </w:rPr>
        <w:t xml:space="preserve">Übertragbarkeit: </w:t>
      </w:r>
      <w:r>
        <w:rPr>
          <w:sz w:val="19"/>
        </w:rPr>
        <w:t>Frankreich, dezentrale Diagnostik; Ansatz auf vulnerable Gruppen übertragbar</w:t>
      </w:r>
    </w:p>
    <w:p>
      <w:r>
        <w:rPr>
          <w:color w:val="5A7D3A"/>
          <w:sz w:val="18"/>
        </w:rPr>
        <w:t>https://pubmed.ncbi.nlm.nih.gov/42661472/</w:t>
      </w:r>
    </w:p>
    <w:p>
      <w:pPr>
        <w:pStyle w:val="Heading2"/>
      </w:pPr>
      <w:r>
        <w:t>Penicilline bei vancomycin-sensiblen Enterococcus-Bakteriämien: effektiv, aber keine Überlegenheit ohne Fokuskontrolle</w:t>
      </w:r>
    </w:p>
    <w:p>
      <w:r>
        <w:rPr>
          <w:i/>
          <w:color w:val="666666"/>
          <w:sz w:val="18"/>
        </w:rPr>
        <w:t>Landrock T et al.  ·  Transbound Emerg Dis  ·  2026  ·  PMID 42661338</w:t>
      </w:r>
    </w:p>
    <w:p>
      <w:r>
        <w:t>Retrospektive deutsche Kohortenstudie an 127 Patienten mit Enterococcus-Bakteriämie, Vergleich Penicillin-basierte versus alternative Therapien.</w:t>
      </w:r>
    </w:p>
    <w:p>
      <w:r>
        <w:rPr>
          <w:b/>
        </w:rPr>
        <w:t xml:space="preserve">Ergebnis: </w:t>
      </w:r>
      <w:r>
        <w:t>30-Tage-Mortalität: Penicilline 13,4 % vs. Alternativen 40 % (p=0,001); mediane Hospitalsdauer 21 vs. 35 Tage. Bei multivariater Analyse mit Propensity Scores war nur septischer Schock (aOR 23,53) unabhängig mit Sterblichkeit assoziiert, nicht die Therapieklasse. Keine Unterschiede bei Rezidivbakteriämie oder Nebenwirkungen.</w:t>
      </w:r>
    </w:p>
    <w:p>
      <w:r>
        <w:rPr>
          <w:b/>
          <w:sz w:val="19"/>
        </w:rPr>
        <w:t xml:space="preserve">Übertragbarkeit: </w:t>
      </w:r>
      <w:r>
        <w:rPr>
          <w:sz w:val="19"/>
        </w:rPr>
        <w:t>Deutschland/Österreich, direkt auf Krankenhausinfektion anwendbar</w:t>
      </w:r>
    </w:p>
    <w:p>
      <w:r>
        <w:rPr>
          <w:color w:val="5A7D3A"/>
          <w:sz w:val="18"/>
        </w:rPr>
        <w:t>https://pubmed.ncbi.nlm.nih.gov/42661338/</w:t>
      </w:r>
    </w:p>
    <w:p>
      <w:pPr>
        <w:pStyle w:val="Heading2"/>
      </w:pPr>
      <w:r>
        <w:t>Netzwerk-gestützte Sentinelüberwachung erkannte Clostridioides difficile 27 % schneller mit nur 15 % Sequenzierung</w:t>
      </w:r>
    </w:p>
    <w:p>
      <w:r>
        <w:rPr>
          <w:i/>
          <w:color w:val="666666"/>
          <w:sz w:val="18"/>
        </w:rPr>
        <w:t>Pople D et al.  ·  Nat Commun  ·  26.08.2026  ·  PMID 42649138</w:t>
      </w:r>
    </w:p>
    <w:p>
      <w:r>
        <w:t>Englische Studie mit Netzwerkanalyse zur optimalen Auswahl von Sentinel-Laboratorien für Whole-Genome-Sequenzierung nosokomialer Infektionen bei limitierter Sequenzierungskapazität.</w:t>
      </w:r>
    </w:p>
    <w:p>
      <w:r>
        <w:rPr>
          <w:b/>
        </w:rPr>
        <w:t xml:space="preserve">Ergebnis: </w:t>
      </w:r>
      <w:r>
        <w:t>Algorithmisch optimierte Sentinelstandorte erkennen neuartige C.-difficile-Stämme 27 % schneller als Zufallsauswahl (Median ~3 statt 4 Wochen), während nur &lt;15 % aller Fälle sequenziert werden. Sensitivitäts- und Szenario-Analysen bestätigten robuste epidemiologische Performance über verschiedene Pfadogeneigenschaften hinweg.</w:t>
      </w:r>
    </w:p>
    <w:p>
      <w:r>
        <w:rPr>
          <w:b/>
          <w:sz w:val="19"/>
        </w:rPr>
        <w:t xml:space="preserve">Übertragbarkeit: </w:t>
      </w:r>
      <w:r>
        <w:rPr>
          <w:sz w:val="19"/>
        </w:rPr>
        <w:t>Großbritannien, übertragbar auf deutsche KRINKO-gestützte Sentinel-Überwachung</w:t>
      </w:r>
    </w:p>
    <w:p>
      <w:r>
        <w:rPr>
          <w:color w:val="5A7D3A"/>
          <w:sz w:val="18"/>
        </w:rPr>
        <w:t>https://pubmed.ncbi.nlm.nih.gov/42649138/</w:t>
      </w:r>
    </w:p>
    <w:p>
      <w:pPr>
        <w:pStyle w:val="Heading2"/>
      </w:pPr>
      <w:r>
        <w:t>Delphi-Konsens: Prävention und Management iatrogener Nebenwirkungen von Immunglobulin-Therapie</w:t>
      </w:r>
    </w:p>
    <w:p>
      <w:r>
        <w:rPr>
          <w:i/>
          <w:color w:val="666666"/>
          <w:sz w:val="18"/>
        </w:rPr>
        <w:t>Ferranti-Ramos A et al.  ·  Front Immunol  ·  06.08.2026  ·  PMID 42625714</w:t>
      </w:r>
    </w:p>
    <w:p>
      <w:r>
        <w:t>Spanischer Expertenkonsens mit modifiziertem Delphi-Verfahren zur Standardisierung von Sicherheitsmaßnahmen bei Immunglobulin-Gaben in primären und sekundären Immundefekten.</w:t>
      </w:r>
    </w:p>
    <w:p>
      <w:r>
        <w:rPr>
          <w:b/>
        </w:rPr>
        <w:t xml:space="preserve">Ergebnis: </w:t>
      </w:r>
      <w:r>
        <w:t>42 von 44 Empfehlungen erreichten ≥75 % Konsens. Hochgradige Einigkeit zu individualisierter Risikoabwägung, Infusionsraten-Anpassung und frühes Nebenwirkungsmanagement. Subkutane Immunglobuline (SCIG) zeigten weniger systemische Reaktionen als intravenös. Serielle Anti-IgA-Tests nur bei selektierten Hochrisikopatienten nötig. Prämediktion nur bei ausgewählten Hochrisikogruppen.</w:t>
      </w:r>
    </w:p>
    <w:p>
      <w:r>
        <w:rPr>
          <w:b/>
          <w:sz w:val="19"/>
        </w:rPr>
        <w:t xml:space="preserve">Übertragbarkeit: </w:t>
      </w:r>
      <w:r>
        <w:rPr>
          <w:sz w:val="19"/>
        </w:rPr>
        <w:t>Spanien; europäisches System, auf deutsches Versicherungswesen übertragbar</w:t>
      </w:r>
    </w:p>
    <w:p>
      <w:r>
        <w:rPr>
          <w:color w:val="5A7D3A"/>
          <w:sz w:val="18"/>
        </w:rPr>
        <w:t>https://pubmed.ncbi.nlm.nih.gov/42625714/</w:t>
      </w:r>
    </w:p>
    <w:p>
      <w:pPr>
        <w:pStyle w:val="Heading2"/>
      </w:pPr>
      <w:r>
        <w:t>MT-RNR1-Testung vor Aminoglykosiden verhindert irreversible Hörstörungen, kosteneffektiv in Neonatensepsis</w:t>
      </w:r>
    </w:p>
    <w:p>
      <w:r>
        <w:rPr>
          <w:i/>
          <w:color w:val="666666"/>
          <w:sz w:val="18"/>
        </w:rPr>
        <w:t>McDermott JH et al.  ·  Br J Clin Pharmacol  ·  29.07.2026  ·  PMID 42524757</w:t>
      </w:r>
    </w:p>
    <w:p>
      <w:r>
        <w:t>Britische Richtlinie zum Einsatz präventiver Pharmacogenomics-Tests für Aminoglykosid-induzierte Ototoxizität anhand von Mitochondrial-DNA-Varianten, basierend auf systematischer Literaturanalyse.</w:t>
      </w:r>
    </w:p>
    <w:p>
      <w:r>
        <w:rPr>
          <w:b/>
        </w:rPr>
        <w:t xml:space="preserve">Ergebnis: </w:t>
      </w:r>
      <w:r>
        <w:t>Drei MT-RNR1-Varianten (m.1555A&gt;G, m.1494C&gt;T, m.1095T&gt;C; Frequenz ~1:330) prädisponieren zu irreversibler Hörschädigung auch bei therapeutischen Dosen. Im Englischen Nationalen Gesundheitssystem ist Labor-basierte Testung finanziert; Point-of-Care-Tests in Neonatensepsis werden durchgeführt und sind frühen Health-Economic-Modellen zufolge kostenersparend. Ca. 20 % des Aminoglykosidgebrauchs ist vorhersehbar und testbar.</w:t>
      </w:r>
    </w:p>
    <w:p>
      <w:r>
        <w:rPr>
          <w:b/>
          <w:sz w:val="19"/>
        </w:rPr>
        <w:t xml:space="preserve">Übertragbarkeit: </w:t>
      </w:r>
      <w:r>
        <w:rPr>
          <w:sz w:val="19"/>
        </w:rPr>
        <w:t>Großbritannien, Mitochondrial-DNA-Testung auf Deutschland übertragbar, Kosten-Nutzen-Analyse erforderlich</w:t>
      </w:r>
    </w:p>
    <w:p>
      <w:r>
        <w:rPr>
          <w:color w:val="5A7D3A"/>
          <w:sz w:val="18"/>
        </w:rPr>
        <w:t>https://pubmed.ncbi.nlm.nih.gov/42524757/</w:t>
      </w:r>
    </w:p>
    <w:p>
      <w:pPr>
        <w:pStyle w:val="Heading1"/>
      </w:pPr>
      <w:r>
        <w:t>Aufgenommen am 30.08.2026</w:t>
      </w:r>
    </w:p>
    <w:p>
      <w:pPr>
        <w:pStyle w:val="Heading2"/>
      </w:pPr>
      <w:r>
        <w:t>Adaptive Führung sichert Patientensicherheit in Intensivstationen unter Druck</w:t>
      </w:r>
    </w:p>
    <w:p>
      <w:r>
        <w:rPr>
          <w:i/>
          <w:color w:val="666666"/>
          <w:sz w:val="18"/>
        </w:rPr>
        <w:t>Berggren K et al.  ·  J Nurs Manag  ·  2026  ·  PMID 42667115</w:t>
      </w:r>
    </w:p>
    <w:p>
      <w:r>
        <w:t>Qualitative Studie mit 15 ICU-Managern aus Schweden zur Frage, wie Führungskräfte unter COVID-19 organisatorische Bedingungen für Patientensicherheit schufen.</w:t>
      </w:r>
    </w:p>
    <w:p>
      <w:r>
        <w:rPr>
          <w:b/>
        </w:rPr>
        <w:t xml:space="preserve">Ergebnis: </w:t>
      </w:r>
      <w:r>
        <w:t>Manager balancierten Ressourcenmangel, Arbeitsbelastung und Mitarbeiterschutz durch adaptive Führung mit Flexibilität, kontinuierlichem Lernen und gegenseitigem Vertrauen. Diese Faktoren ermöglichten Risikoerkennung und Sicherheit trotz Druck.</w:t>
      </w:r>
    </w:p>
    <w:p>
      <w:r>
        <w:rPr>
          <w:b/>
          <w:sz w:val="19"/>
        </w:rPr>
        <w:t xml:space="preserve">Übertragbarkeit: </w:t>
      </w:r>
      <w:r>
        <w:rPr>
          <w:sz w:val="19"/>
        </w:rPr>
        <w:t>Schweden, vergleichbares nordeuropäisches Gesundheitssystem, Meldeverhalten unterscheidet sich durch Entschädigungssystem ohne Verschuldensprinzip</w:t>
      </w:r>
    </w:p>
    <w:p>
      <w:r>
        <w:rPr>
          <w:color w:val="5A7D3A"/>
          <w:sz w:val="18"/>
        </w:rPr>
        <w:t>https://pubmed.ncbi.nlm.nih.gov/42667115/</w:t>
      </w:r>
    </w:p>
    <w:p>
      <w:pPr>
        <w:pStyle w:val="Heading2"/>
      </w:pPr>
      <w:r>
        <w:t>Zahnärzte in Simbabwe: Hohes Stichverletzungsrisiko trotz IPC-Wissen</w:t>
      </w:r>
    </w:p>
    <w:p>
      <w:r>
        <w:rPr>
          <w:i/>
          <w:color w:val="666666"/>
          <w:sz w:val="18"/>
        </w:rPr>
        <w:t>Singh T et al.  ·  Front Public Health  ·  14.08.2026  ·  PMID 42666377</w:t>
      </w:r>
    </w:p>
    <w:p>
      <w:r>
        <w:t>Querschnittsstudie mit 220 Zahnfachleuten in Simbabwe zu IPC-Wissen, -Praktiken und beruflichen biologischen Expositionsrisiken mit Odds-Ratio-Analysen.</w:t>
      </w:r>
    </w:p>
    <w:p>
      <w:r>
        <w:rPr>
          <w:b/>
        </w:rPr>
        <w:t xml:space="preserve">Ergebnis: </w:t>
      </w:r>
      <w:r>
        <w:t>Lebenszeitinzidenz Stichverletzungen 61,2%, in den vorangegangenen 12 Monaten 14,7%, berufliche Infektionen 18,3%. Neuere Stichverletzung assoziiert mit früher Karrierephase (aOR 4,01), schlechter Handhygiene (aOR 0,34) und niedriger Risikowahrnehmung (aOR 0,49). Öffentliche Arbeit assoziiert mit Berufsinfektionen (aOR 2,66).</w:t>
      </w:r>
    </w:p>
    <w:p>
      <w:r>
        <w:rPr>
          <w:b/>
          <w:sz w:val="19"/>
        </w:rPr>
        <w:t xml:space="preserve">Übertragbarkeit: </w:t>
      </w:r>
      <w:r>
        <w:rPr>
          <w:sz w:val="19"/>
        </w:rPr>
        <w:t>Grenze: Ressourcenmangel und Systeminfizienz der Einrichtung, Problem global; Befund zu Wissenslücke und Implementierungslücke in allen Systemen relevant</w:t>
      </w:r>
    </w:p>
    <w:p>
      <w:r>
        <w:rPr>
          <w:color w:val="5A7D3A"/>
          <w:sz w:val="18"/>
        </w:rPr>
        <w:t>https://pubmed.ncbi.nlm.nih.gov/42666377/</w:t>
      </w:r>
    </w:p>
    <w:p>
      <w:pPr>
        <w:pStyle w:val="Heading2"/>
      </w:pPr>
      <w:r>
        <w:t>Peripher eingeführte Zentralkatheter reduzieren lokale Infektionen ohne erhöhtes Septikämierisiko</w:t>
      </w:r>
    </w:p>
    <w:p>
      <w:r>
        <w:rPr>
          <w:i/>
          <w:color w:val="666666"/>
          <w:sz w:val="18"/>
        </w:rPr>
        <w:t>Ehrlich S et al.  ·  Support Care Cancer  ·  28.08.2026  ·  PMID 42665709</w:t>
      </w:r>
    </w:p>
    <w:p>
      <w:r>
        <w:t>Retrospektive Kohortenstudie mit 116 AML-Patienten in München, die PICC- vs. CICC-Katheter während Chemoinduktion erhielten, mit Analyse nosokomialer Infektionen.</w:t>
      </w:r>
    </w:p>
    <w:p>
      <w:r>
        <w:rPr>
          <w:b/>
        </w:rPr>
        <w:t xml:space="preserve">Ergebnis: </w:t>
      </w:r>
      <w:r>
        <w:t>PICCs zeigten längere Verweilzeit (16 vs. 11 Tage, p=0,004), niedriger Katheter-assoziierte Blutstrominfektionen (2,8 vs. 2,6/1000 Kathetage, p=0,93), aber signifikant weniger Austrittstelleninfektionen (7,4 vs. 23,1/1000 Kathetage, p=0,01). Keine erhöhte Thromboserisiko.</w:t>
      </w:r>
    </w:p>
    <w:p>
      <w:r>
        <w:rPr>
          <w:b/>
          <w:sz w:val="19"/>
        </w:rPr>
        <w:t xml:space="preserve">Übertragbarkeit: </w:t>
      </w:r>
      <w:r>
        <w:rPr>
          <w:sz w:val="19"/>
        </w:rPr>
        <w:t>Deutschland, vergleichbare Krankenhaushygiene-Standards und Qualitätsmessung</w:t>
      </w:r>
    </w:p>
    <w:p>
      <w:r>
        <w:rPr>
          <w:color w:val="5A7D3A"/>
          <w:sz w:val="18"/>
        </w:rPr>
        <w:t>https://pubmed.ncbi.nlm.nih.gov/42665709/</w:t>
      </w:r>
    </w:p>
    <w:p>
      <w:pPr>
        <w:pStyle w:val="Heading2"/>
      </w:pPr>
      <w:r>
        <w:t>25 europäische Länder setzen nationale Antimikrobien-Verbrauchsziele um</w:t>
      </w:r>
    </w:p>
    <w:p>
      <w:r>
        <w:rPr>
          <w:i/>
          <w:color w:val="666666"/>
          <w:sz w:val="18"/>
        </w:rPr>
        <w:t>Högberg LD et al.  ·  Euro Surveill  ·  Aug. 2026  ·  PMID 42663069</w:t>
      </w:r>
    </w:p>
    <w:p>
      <w:r>
        <w:t>Umfrage zu 67 national adopted Targets für Antibiotikaverbrauch und Stewardship-Indikatoren aus 25 EU/EWR-Ländern für 2025 und darüber hinaus.</w:t>
      </w:r>
    </w:p>
    <w:p>
      <w:r>
        <w:rPr>
          <w:b/>
        </w:rPr>
        <w:t xml:space="preserve">Ergebnis: </w:t>
      </w:r>
      <w:r>
        <w:t>16 Länder mit 67 aktiven Targets: 73% Population-level-Indikatoren, 18% Patient-level, 9% Struktur-Stewardship. Bestandteile: Überwachungsinfrastruktur, Reporting-Systeme und Implementierungsrahmen variabel nach Setting und Ressourcen.</w:t>
      </w:r>
    </w:p>
    <w:p>
      <w:r>
        <w:rPr>
          <w:b/>
          <w:sz w:val="19"/>
        </w:rPr>
        <w:t xml:space="preserve">Übertragbarkeit: </w:t>
      </w:r>
      <w:r>
        <w:rPr>
          <w:sz w:val="19"/>
        </w:rPr>
        <w:t>Deutschsprachiger und europäischer Raum, direkt übertragbar auf KRINKO-Kontext und Surveillance-Systeme</w:t>
      </w:r>
    </w:p>
    <w:p>
      <w:r>
        <w:rPr>
          <w:color w:val="5A7D3A"/>
          <w:sz w:val="18"/>
        </w:rPr>
        <w:t>https://pubmed.ncbi.nlm.nih.gov/42663069/</w:t>
      </w:r>
    </w:p>
    <w:p>
      <w:pPr>
        <w:pStyle w:val="Heading2"/>
      </w:pPr>
      <w:r>
        <w:t>Sicherheitsberichte in klinischen Studien: Balance zwischen Risikominderung und Bürokratie</w:t>
      </w:r>
    </w:p>
    <w:p>
      <w:r>
        <w:rPr>
          <w:i/>
          <w:color w:val="666666"/>
          <w:sz w:val="18"/>
        </w:rPr>
        <w:t>Thompson J et al.  ·  PLoS One  ·  30.07.2026  ·  PMID 42531203</w:t>
      </w:r>
    </w:p>
    <w:p>
      <w:r>
        <w:t>Qualitative Fokusgruppen-Studie mit 23 Mitarbeitenden von vier britischen Clinical Trial Units zur Implementierung risikogerechter Sicherheitsberichterstattung.</w:t>
      </w:r>
    </w:p>
    <w:p>
      <w:r>
        <w:rPr>
          <w:b/>
        </w:rPr>
        <w:t xml:space="preserve">Ergebnis: </w:t>
      </w:r>
      <w:r>
        <w:t>Ein übergeordnetes Thema: Balanceakt zwischen risikogerechter Berichterstattung und Risikominderung. Personal fühlt sich unsicher in Entscheidungen. Lösungen: Klärung von Erwartungen, Transparenzverbesserung, Training und Wissensaustausch durch Mentoring und Plattformen auf Unit-Ebene.</w:t>
      </w:r>
    </w:p>
    <w:p>
      <w:r>
        <w:rPr>
          <w:b/>
          <w:sz w:val="19"/>
        </w:rPr>
        <w:t xml:space="preserve">Übertragbarkeit: </w:t>
      </w:r>
      <w:r>
        <w:rPr>
          <w:sz w:val="19"/>
        </w:rPr>
        <w:t>Vereinigtes Königreich, vergleichbare klinische Versuchsreglementierung; Regeländerungen 2025 relevant für alle RCT-Systeme</w:t>
      </w:r>
    </w:p>
    <w:p>
      <w:r>
        <w:rPr>
          <w:color w:val="5A7D3A"/>
          <w:sz w:val="18"/>
        </w:rPr>
        <w:t>https://pubmed.ncbi.nlm.nih.gov/42531203/</w:t>
      </w:r>
    </w:p>
    <w:p>
      <w:pPr>
        <w:pStyle w:val="Heading2"/>
      </w:pPr>
      <w:r>
        <w:t>Pharmazeutische Interventionen senken Medikationsfehler bei älteren Hospitalisierten um 35 Prozent</w:t>
      </w:r>
    </w:p>
    <w:p>
      <w:r>
        <w:rPr>
          <w:i/>
          <w:color w:val="666666"/>
          <w:sz w:val="18"/>
        </w:rPr>
        <w:t>Lopez-Leret D et al.  ·  Pharmazie  ·  24.07.2026  ·  PMID 42530075</w:t>
      </w:r>
    </w:p>
    <w:p>
      <w:r>
        <w:t>Retrospektive Analyse von 12.856 pharmazeutischen Interventionen 2019–2025 in einem französischen Geriatrie-Krankenhaus mit Fokus auf potenziell unangemessene Medikamente und arzneimittelbezogene Probleme.</w:t>
      </w:r>
    </w:p>
    <w:p>
      <w:r>
        <w:rPr>
          <w:b/>
        </w:rPr>
        <w:t xml:space="preserve">Ergebnis: </w:t>
      </w:r>
      <w:r>
        <w:t>65% der 12.856 Interventionen wurden von Verschreibern akzeptiert. Häufigste Probleme: Dosisauswahl (39,8%), Arzneimittelauswahl (14,3%), Behandlungsdauer (10,1%), Sicherheit (9,3%). Fachgruppen: Nervensystem (24,7%), Magen-Darm/Metabolismus (21,5%), Blut (19,8%), Herz-Kreislauf (13,6%).</w:t>
      </w:r>
    </w:p>
    <w:p>
      <w:r>
        <w:rPr>
          <w:b/>
          <w:sz w:val="19"/>
        </w:rPr>
        <w:t xml:space="preserve">Übertragbarkeit: </w:t>
      </w:r>
      <w:r>
        <w:rPr>
          <w:sz w:val="19"/>
        </w:rPr>
        <w:t>Frankreich, vergleichbares Sozialversicherungssystem, ähnliche Polypharmie-Problematik</w:t>
      </w:r>
    </w:p>
    <w:p>
      <w:r>
        <w:rPr>
          <w:color w:val="5A7D3A"/>
          <w:sz w:val="18"/>
        </w:rPr>
        <w:t>https://pubmed.ncbi.nlm.nih.gov/42530075/</w:t>
      </w:r>
    </w:p>
    <w:p>
      <w:pPr>
        <w:pStyle w:val="Heading1"/>
      </w:pPr>
      <w:r>
        <w:t>Aufgenommen am 29.08.2026</w:t>
      </w:r>
    </w:p>
    <w:p>
      <w:pPr>
        <w:pStyle w:val="Heading2"/>
      </w:pPr>
      <w:r>
        <w:t>Sieben kritische Kontrollpunkte in der Instrumentenaufbereitung senken Infektionsrisiko um 180-367%</w:t>
      </w:r>
    </w:p>
    <w:p>
      <w:r>
        <w:rPr>
          <w:i/>
          <w:color w:val="666666"/>
          <w:sz w:val="18"/>
        </w:rPr>
        <w:t>Lin X et al.  ·  Front Public Health  ·  13.08.2026  ·  PMID 42661801</w:t>
      </w:r>
    </w:p>
    <w:p>
      <w:r>
        <w:t>Retrospektive Kohortenstudie an 15.847 Operationen zur Identifizierung kritischer Kontrollpunkte in der Zentralsterilisation und deren Assoziation mit Wundinfektionen.</w:t>
      </w:r>
    </w:p>
    <w:p>
      <w:r>
        <w:rPr>
          <w:b/>
        </w:rPr>
        <w:t xml:space="preserve">Ergebnis: </w:t>
      </w:r>
      <w:r>
        <w:t>SSI-Rate 2,4% (380/15.847). Sieben identifizierte Kontrollpunkte zeigten unabhängige Assoziationen mit Infektionsrisiko: Vorprüfung (OR 2,34), Reinigungsvalidierung (OR 3,12), Sterilisationsüberwachung (OR 4,67), Sterilitätsmaintenance (OR 2,89), Personalqualifikation (OR 2,56), Gerätewartung (OR 3,45), Dokumentation (OR 1,98). Inadequate Kontrolle erhöhte Infektionsrisiko um 180-367%.</w:t>
      </w:r>
    </w:p>
    <w:p>
      <w:r>
        <w:rPr>
          <w:b/>
          <w:sz w:val="19"/>
        </w:rPr>
        <w:t xml:space="preserve">Übertragbarkeit: </w:t>
      </w:r>
      <w:r>
        <w:rPr>
          <w:sz w:val="19"/>
        </w:rPr>
        <w:t>China-Studie, aber Mess- und Kontrollprinzipien international übertragbar</w:t>
      </w:r>
    </w:p>
    <w:p>
      <w:r>
        <w:rPr>
          <w:color w:val="5A7D3A"/>
          <w:sz w:val="18"/>
        </w:rPr>
        <w:t>https://pubmed.ncbi.nlm.nih.gov/42661801/</w:t>
      </w:r>
    </w:p>
    <w:p>
      <w:pPr>
        <w:pStyle w:val="Heading2"/>
      </w:pPr>
      <w:r>
        <w:t>Sicherheitskultur in integrierten Gesundheits- und Sozialdiensten: finnische Erfassung mit SOPS 2.0</w:t>
      </w:r>
    </w:p>
    <w:p>
      <w:r>
        <w:rPr>
          <w:i/>
          <w:color w:val="666666"/>
          <w:sz w:val="18"/>
        </w:rPr>
        <w:t>Hult M et al.  ·  BMJ Open Qual  ·  27.08.2026  ·  PMID 42660605</w:t>
      </w:r>
    </w:p>
    <w:p>
      <w:r>
        <w:t>Querschnittstudie mit 2.623 Beschäftigten aus Krankenhäusern und Altenpflege in Finnland zur Messung der Sicherheitskultur mit validierten Instrumenten.</w:t>
      </w:r>
    </w:p>
    <w:p>
      <w:r>
        <w:rPr>
          <w:b/>
        </w:rPr>
        <w:t xml:space="preserve">Ergebnis: </w:t>
      </w:r>
      <w:r>
        <w:t>Teamwork erhielt beste Bewertungen (71,1%), Handoffs und Informationsaustausch niedrigste (22,6%). Ältere Dienste schnitten konsistent schlechter ab. Insgesamt 52,6% positive Responses für Net Safety Score. Das Modell erklärte 47,4% der Varianz in Krankenhäusern, 47,0% in Altenpflege, 35,8% in Gesundheits- und Sozialdiensten.</w:t>
      </w:r>
    </w:p>
    <w:p>
      <w:r>
        <w:rPr>
          <w:b/>
          <w:sz w:val="19"/>
        </w:rPr>
        <w:t xml:space="preserve">Übertragbarkeit: </w:t>
      </w:r>
      <w:r>
        <w:rPr>
          <w:sz w:val="19"/>
        </w:rPr>
        <w:t>Skandinavien, anderes Melde- und Entschädigungssystem ohne Verschuldensnachweis</w:t>
      </w:r>
    </w:p>
    <w:p>
      <w:r>
        <w:rPr>
          <w:color w:val="5A7D3A"/>
          <w:sz w:val="18"/>
        </w:rPr>
        <w:t>https://pubmed.ncbi.nlm.nih.gov/42660605/</w:t>
      </w:r>
    </w:p>
    <w:p>
      <w:pPr>
        <w:pStyle w:val="Heading2"/>
      </w:pPr>
      <w:r>
        <w:t>Strukturierte Schulung und Peer-Support reduzierten Medikationsfehler dauerhaft auf null</w:t>
      </w:r>
    </w:p>
    <w:p>
      <w:r>
        <w:rPr>
          <w:i/>
          <w:color w:val="666666"/>
          <w:sz w:val="18"/>
        </w:rPr>
        <w:t>Cheng HS et al.  ·  BMJ Open Qual  ·  27.08.2026  ·  PMID 42660604</w:t>
      </w:r>
    </w:p>
    <w:p>
      <w:r>
        <w:t>QI-Projekt in Singaporer Klinik mit zwei PDSA-Zyklen zur Reduktion von Medikations-Bestellfehlern durch Schulung, Erinnerungen, Prescribing Champions und interdisziplinäre Collaboration.</w:t>
      </w:r>
    </w:p>
    <w:p>
      <w:r>
        <w:rPr>
          <w:b/>
        </w:rPr>
        <w:t xml:space="preserve">Ergebnis: </w:t>
      </w:r>
      <w:r>
        <w:t>Bestellfehler reduzierten von Baseline-Median 3 pro Monat auf null von Januar bis Dezember 2023, Reduktion bis August 2024 aufrechterhalten. Geschätzte Kostenersparnis SGD 18.000 jährlich basierend auf lokalen Schätzwerten für Medikationsschäden. Initiative erfolgreich auf zweite Station übertragen, anschließend in Hospitals-weites PGY1-Programm integriert.</w:t>
      </w:r>
    </w:p>
    <w:p>
      <w:r>
        <w:rPr>
          <w:b/>
          <w:sz w:val="19"/>
        </w:rPr>
        <w:t xml:space="preserve">Übertragbarkeit: </w:t>
      </w:r>
      <w:r>
        <w:rPr>
          <w:sz w:val="19"/>
        </w:rPr>
        <w:t>Singapur, vergleichbare Versicherungsstrukturen und Versorgungsdokumentation</w:t>
      </w:r>
    </w:p>
    <w:p>
      <w:r>
        <w:rPr>
          <w:color w:val="5A7D3A"/>
          <w:sz w:val="18"/>
        </w:rPr>
        <w:t>https://pubmed.ncbi.nlm.nih.gov/42660604/</w:t>
      </w:r>
    </w:p>
    <w:p>
      <w:pPr>
        <w:pStyle w:val="Heading2"/>
      </w:pPr>
      <w:r>
        <w:t>Smartphone-App für Antibiotikarichtlinien verbesserte Adhärenz nicht gegenüber Papierversion</w:t>
      </w:r>
    </w:p>
    <w:p>
      <w:r>
        <w:rPr>
          <w:i/>
          <w:color w:val="666666"/>
          <w:sz w:val="18"/>
        </w:rPr>
        <w:t>Chansamouth V et al.  ·  PLoS Med  ·  27.08.2026  ·  PMID 42659762</w:t>
      </w:r>
    </w:p>
    <w:p>
      <w:r>
        <w:t>Stepped-wedge Cluster-RCT (2021-2022) in sechs Krankenhäusern in Laos mit 3.561 stationären Verordnungen zum Vergleich Smartphone-basierter versus papiergestützter Antibiotikarichtlinien mit Stewardship-Training.</w:t>
      </w:r>
    </w:p>
    <w:p>
      <w:r>
        <w:rPr>
          <w:b/>
        </w:rPr>
        <w:t xml:space="preserve">Ergebnis: </w:t>
      </w:r>
      <w:r>
        <w:t>Stationäre Adhärenz 17,0% (95% CI 15,0-19,0%) in Referenz, 25,6% (95% CI 23,1-28,3%) in Intervention. Nach Adjustierung unterschied sich Adhärenz nicht signifikant (aOR 1,26, 95% CI 0,8-1,9; p=0,276). Ambulant aOR 0,91 (95% CI 0,7-1,1; p=0,406). Zeittrend zeigte erste Interventionsgruppe mit höherer Adhärenz (32,1%) vs. letzte (19,1%), aOR 1,95.</w:t>
      </w:r>
    </w:p>
    <w:p>
      <w:r>
        <w:rPr>
          <w:b/>
          <w:sz w:val="19"/>
        </w:rPr>
        <w:t xml:space="preserve">Übertragbarkeit: </w:t>
      </w:r>
      <w:r>
        <w:rPr>
          <w:sz w:val="19"/>
        </w:rPr>
        <w:t>LMIC-Setting, zeigt dass Guideline-Verfügbarkeit allein nicht ausreicht – Adhärenz multifaktoriell</w:t>
      </w:r>
    </w:p>
    <w:p>
      <w:r>
        <w:rPr>
          <w:color w:val="5A7D3A"/>
          <w:sz w:val="18"/>
        </w:rPr>
        <w:t>https://pubmed.ncbi.nlm.nih.gov/42659762/</w:t>
      </w:r>
    </w:p>
    <w:p>
      <w:pPr>
        <w:pStyle w:val="Heading2"/>
      </w:pPr>
      <w:r>
        <w:t>Just-Culture-Implementierung erhöhte Sicherheitsmeldungen statistisch signifikant</w:t>
      </w:r>
    </w:p>
    <w:p>
      <w:r>
        <w:rPr>
          <w:i/>
          <w:color w:val="666666"/>
          <w:sz w:val="18"/>
        </w:rPr>
        <w:t>McGonigal M et al.  ·  Crit Care Nurs Q  ·  26.08.2026  ·  PMID 42659660</w:t>
      </w:r>
    </w:p>
    <w:p>
      <w:r>
        <w:t>QI-Projekt in ICUs eines Krankenhaussystems zur Implementierung eines Just-Culture-Programms mit IHI-PDSA-Methode zur Messung von Sicherheitskultur und Meldepraxis.</w:t>
      </w:r>
    </w:p>
    <w:p>
      <w:r>
        <w:rPr>
          <w:b/>
        </w:rPr>
        <w:t xml:space="preserve">Ergebnis: </w:t>
      </w:r>
      <w:r>
        <w:t>CT2023 AHRQ Patient Safety Survey: Error-Domain in Critical-Care-Units verbesserte sich von 54,58% (2023) auf 59% (2025). Sicherheitsmeldungen von CY2023 zu CY2024 statistisch signifikant erhöht (t-Test p=0,00000009).</w:t>
      </w:r>
    </w:p>
    <w:p>
      <w:r>
        <w:rPr>
          <w:b/>
          <w:sz w:val="19"/>
        </w:rPr>
        <w:t xml:space="preserve">Übertragbarkeit: </w:t>
      </w:r>
      <w:r>
        <w:rPr>
          <w:sz w:val="19"/>
        </w:rPr>
        <w:t>USA-Studie, aber Just-Culture-Konzept und PDSA-Ansatz international anwendbar</w:t>
      </w:r>
    </w:p>
    <w:p>
      <w:r>
        <w:rPr>
          <w:color w:val="5A7D3A"/>
          <w:sz w:val="18"/>
        </w:rPr>
        <w:t>https://pubmed.ncbi.nlm.nih.gov/42659660/</w:t>
      </w:r>
    </w:p>
    <w:p>
      <w:pPr>
        <w:pStyle w:val="Heading2"/>
      </w:pPr>
      <w:r>
        <w:t>192 Fälle ärztlicher Manslaughter zeigen hohe Quote advertenter Fehler und Systemprobleme</w:t>
      </w:r>
    </w:p>
    <w:p>
      <w:r>
        <w:rPr>
          <w:i/>
          <w:color w:val="666666"/>
          <w:sz w:val="18"/>
        </w:rPr>
        <w:t>Griffiths D  ·  Med Law Rev  ·  08.07.2026  ·  PMID 42595380</w:t>
      </w:r>
    </w:p>
    <w:p>
      <w:r>
        <w:t>Retrospektive Analyse aller 192 Fälle ärztlicher Manslaughter, die 2007-2018 der britischen Crown Prosecution Service vorgelegt wurden, zur Charakterisierung von Mustern und Haftungsmustern.</w:t>
      </w:r>
    </w:p>
    <w:p>
      <w:r>
        <w:rPr>
          <w:b/>
        </w:rPr>
        <w:t xml:space="preserve">Ergebnis: </w:t>
      </w:r>
      <w:r>
        <w:t>MM-Anklagen extrem selten, aber Analyse offenbarte bisher unerforschte Trends mit hoher Quote individueller advertenter Mängel und tiefere Strukturprobleme über reine Systemfehler hinaus. Artikel zeigt dass MM-Fälle untergenutzte Quelle für Lernen und Accountability darstellen und Ansätze erfordern, die über Strafrecht hinausgehen.</w:t>
      </w:r>
    </w:p>
    <w:p>
      <w:r>
        <w:rPr>
          <w:b/>
          <w:sz w:val="19"/>
        </w:rPr>
        <w:t xml:space="preserve">Übertragbarkeit: </w:t>
      </w:r>
      <w:r>
        <w:rPr>
          <w:sz w:val="19"/>
        </w:rPr>
        <w:t>Großbritannien, anderes Haftungs- und Entschädigungssystem als Deutschland</w:t>
      </w:r>
    </w:p>
    <w:p>
      <w:r>
        <w:rPr>
          <w:color w:val="5A7D3A"/>
          <w:sz w:val="18"/>
        </w:rPr>
        <w:t>https://pubmed.ncbi.nlm.nih.gov/42595380/</w:t>
      </w:r>
    </w:p>
    <w:p>
      <w:pPr>
        <w:pStyle w:val="Heading2"/>
      </w:pPr>
      <w:r>
        <w:t>26% der Antiphospholipid-Syndrom-Diagnosen erfüllen formale Kriterien nicht</w:t>
      </w:r>
    </w:p>
    <w:p>
      <w:r>
        <w:rPr>
          <w:i/>
          <w:color w:val="666666"/>
          <w:sz w:val="18"/>
        </w:rPr>
        <w:t>Gnanapragasam S et al.  ·  Dan Med J  ·  23.06.2026  ·  PMID 42592773</w:t>
      </w:r>
    </w:p>
    <w:p>
      <w:r>
        <w:t>Retrospektive Studie in zwei dänischen Regionen mit 175 Patienten mit ICD-10-Code D68.61 zur Überprüfung ob formale APS-Kriterien erfüllt sind.</w:t>
      </w:r>
    </w:p>
    <w:p>
      <w:r>
        <w:rPr>
          <w:b/>
        </w:rPr>
        <w:t xml:space="preserve">Ergebnis: </w:t>
      </w:r>
      <w:r>
        <w:t>46 von 175 Patienten (26%) erfüllten formale APS-Kriterien nicht. Hauptgrund: fehlerhafte Laborbefund-Interpretation. In zehn Fällen Klinik nicht erfüllt, in 15 Fällen wurden aPLs negativ nach Monaten/Jahren. Bei &lt;50 Jahren APS häufiger in Frauen (41 vs. 12; p&lt;0,0001), nicht bei ≥50 Jahren (38 vs. 38).</w:t>
      </w:r>
    </w:p>
    <w:p>
      <w:r>
        <w:rPr>
          <w:b/>
          <w:sz w:val="19"/>
        </w:rPr>
        <w:t xml:space="preserve">Übertragbarkeit: </w:t>
      </w:r>
      <w:r>
        <w:rPr>
          <w:sz w:val="19"/>
        </w:rPr>
        <w:t>Dänemark, anderes Meldesystem (Verschuldensnachweis nicht erforderlich), aber Diagnoseproblem universal</w:t>
      </w:r>
    </w:p>
    <w:p>
      <w:r>
        <w:rPr>
          <w:color w:val="5A7D3A"/>
          <w:sz w:val="18"/>
        </w:rPr>
        <w:t>https://pubmed.ncbi.nlm.nih.gov/42592773/</w:t>
      </w:r>
    </w:p>
    <w:p>
      <w:pPr>
        <w:pStyle w:val="Heading1"/>
      </w:pPr>
      <w:r>
        <w:t>Aufgenommen am 28.08.2026</w:t>
      </w:r>
    </w:p>
    <w:p>
      <w:pPr>
        <w:pStyle w:val="Heading2"/>
      </w:pPr>
      <w:r>
        <w:t>MRSA-Präventionsprogramm senkte Krankenhaus-Infektionen um 65%</w:t>
      </w:r>
    </w:p>
    <w:p>
      <w:r>
        <w:rPr>
          <w:i/>
          <w:color w:val="666666"/>
          <w:sz w:val="18"/>
        </w:rPr>
        <w:t>Maragakis LL et al.  ·  JAMA Netw Open  ·  03.08.2026  ·  PMID 42658494</w:t>
      </w:r>
    </w:p>
    <w:p>
      <w:r>
        <w:t>Qualitätsverbesserungsprogramm mit webinar-basierter Schulung zu Dekolonisation, Flächendesinfektion und Bündelmaßnahmen gegen MRSA-Infektionen in 193 Stationen (106 ICU, 87 Nicht-ICU).</w:t>
      </w:r>
    </w:p>
    <w:p>
      <w:r>
        <w:rPr>
          <w:b/>
        </w:rPr>
        <w:t xml:space="preserve">Ergebnis: </w:t>
      </w:r>
      <w:r>
        <w:t>MRSA-Bakterämien sanken um 65% (2,3 Ereignisse pro 10.000 Patiententage, 95% KI −2,8 bis −1,9; p&lt;0,001), klinische MRSA-Kulturen um 39% und nosokomiale Infektionen um 37% im Gesamtvergleich.</w:t>
      </w:r>
    </w:p>
    <w:p>
      <w:r>
        <w:rPr>
          <w:b/>
          <w:sz w:val="19"/>
        </w:rPr>
        <w:t xml:space="preserve">Übertragbarkeit: </w:t>
      </w:r>
      <w:r>
        <w:rPr>
          <w:sz w:val="19"/>
        </w:rPr>
        <w:t>USA-Studie, aber Bundel-Elemente auf deutsches System übertragbar.</w:t>
      </w:r>
    </w:p>
    <w:p>
      <w:r>
        <w:rPr>
          <w:color w:val="5A7D3A"/>
          <w:sz w:val="18"/>
        </w:rPr>
        <w:t>https://pubmed.ncbi.nlm.nih.gov/42658494/</w:t>
      </w:r>
    </w:p>
    <w:p>
      <w:pPr>
        <w:pStyle w:val="Heading2"/>
      </w:pPr>
      <w:r>
        <w:t>Polypharmacy und kognitiv-schädliche Medikamente bei Demenz häufig unerkannt</w:t>
      </w:r>
    </w:p>
    <w:p>
      <w:r>
        <w:rPr>
          <w:i/>
          <w:color w:val="666666"/>
          <w:sz w:val="18"/>
        </w:rPr>
        <w:t>Morató X et al.  ·  Alzheimers Dement  ·  Aug. 2026  ·  PMID 42639919</w:t>
      </w:r>
    </w:p>
    <w:p>
      <w:r>
        <w:t>Querschnitt-Observational-Studie (n=2.379) in Memory Clinic Barcelona: Polypharmacy (≥5 Medikamente), potentiell inadäquate Medikation (PIMs) und Medikamente mit kognitiver Toxizität anhand LLM-gestützter Datenextraktion untersucht.</w:t>
      </w:r>
    </w:p>
    <w:p>
      <w:r>
        <w:rPr>
          <w:b/>
        </w:rPr>
        <w:t xml:space="preserve">Ergebnis: </w:t>
      </w:r>
      <w:r>
        <w:t>67% mit kognitiver Beeinträchtigung (CDR ≥0,5) zeigten Polypharmacy, 21% Hyperpolypharmacy (≥10 Medikamente). 20,8% mit Polypharmacy hatten eingeschränkte Nierenfunktion. Schutzfaktor: höhere Bildung. LLM-Einsatz ermöglichte strukturierte Medikamentenanalyse.</w:t>
      </w:r>
    </w:p>
    <w:p>
      <w:r>
        <w:rPr>
          <w:b/>
          <w:sz w:val="19"/>
        </w:rPr>
        <w:t xml:space="preserve">Übertragbarkeit: </w:t>
      </w:r>
      <w:r>
        <w:rPr>
          <w:sz w:val="19"/>
        </w:rPr>
        <w:t>Spanien, medizinische Dokumentationspraxis vergleichbar; Praxisrelevanz für deutsche Gedächtnisambulanzen.</w:t>
      </w:r>
    </w:p>
    <w:p>
      <w:r>
        <w:rPr>
          <w:color w:val="5A7D3A"/>
          <w:sz w:val="18"/>
        </w:rPr>
        <w:t>https://pubmed.ncbi.nlm.nih.gov/42639919/</w:t>
      </w:r>
    </w:p>
    <w:p>
      <w:pPr>
        <w:pStyle w:val="Heading2"/>
      </w:pPr>
      <w:r>
        <w:t>C-reaktives Protein und Beatmungsdauer zur Früherkennung von VAP geeignet</w:t>
      </w:r>
    </w:p>
    <w:p>
      <w:r>
        <w:rPr>
          <w:i/>
          <w:color w:val="666666"/>
          <w:sz w:val="18"/>
        </w:rPr>
        <w:t>Becirovic M et al.  ·  Med Glas (Zenica)  ·  08.07.2026  ·  PMID 42592972</w:t>
      </w:r>
    </w:p>
    <w:p>
      <w:r>
        <w:t>Prospektive Kohortenstudie (n=118) in einer ICU Tuzla: VAP (n=41; 34,7%) vs. ohne VAP; Risikofaktoren, laborchemische Parameter und Mikrobiologie analysiert.</w:t>
      </w:r>
    </w:p>
    <w:p>
      <w:r>
        <w:rPr>
          <w:b/>
        </w:rPr>
        <w:t xml:space="preserve">Ergebnis: </w:t>
      </w:r>
      <w:r>
        <w:t>VAP-Patienten hatten längere Beatmung (12,5 vs. 7,3 Tage; p&lt;0,001), längerer Aufenthalt (19,6 vs. 12,2 Tage; p&lt;0,001), höhere CRP (178,2 vs. 126,4 mg/L; p&lt;0,001). CRP zeigte gute diskriminative Fähigkeit (AUC 0,83). Acinetobacter baumannii war Leitpathogen (43,9%).</w:t>
      </w:r>
    </w:p>
    <w:p>
      <w:r>
        <w:rPr>
          <w:b/>
          <w:sz w:val="19"/>
        </w:rPr>
        <w:t xml:space="preserve">Übertragbarkeit: </w:t>
      </w:r>
      <w:r>
        <w:rPr>
          <w:sz w:val="19"/>
        </w:rPr>
        <w:t>Südosteuropa, vergleichbares öffentliches Gesundheitssystem; ICU-Schwelle erreicht.</w:t>
      </w:r>
    </w:p>
    <w:p>
      <w:r>
        <w:rPr>
          <w:color w:val="5A7D3A"/>
          <w:sz w:val="18"/>
        </w:rPr>
        <w:t>https://pubmed.ncbi.nlm.nih.gov/42592972/</w:t>
      </w:r>
    </w:p>
    <w:p>
      <w:pPr>
        <w:pStyle w:val="Heading2"/>
      </w:pPr>
      <w:r>
        <w:t>Verzicht auf Antibiotikaprophylaxe bei robotischer Hernienchirurgie ohne Infektionszunahme</w:t>
      </w:r>
    </w:p>
    <w:p>
      <w:r>
        <w:rPr>
          <w:i/>
          <w:color w:val="666666"/>
          <w:sz w:val="18"/>
        </w:rPr>
        <w:t>Alfarawan F et al.  ·  Hernia  ·  31.07.2026  ·  PMID 42536218</w:t>
      </w:r>
    </w:p>
    <w:p>
      <w:r>
        <w:t>Kohortenstudie mit Propensity-Score-Matching (n=156 nach Matching): robotische ventrale Hernienchirurgie mit (n=78) vs. ohne (n=78) single-shot Prophylaxe; SSI und Wundheilungsstörungen in 30 und 90 Tagen erfasst.</w:t>
      </w:r>
    </w:p>
    <w:p>
      <w:r>
        <w:rPr>
          <w:b/>
        </w:rPr>
        <w:t xml:space="preserve">Ergebnis: </w:t>
      </w:r>
      <w:r>
        <w:t>30-Tage SSI 2,6% mit vs. 1,3% ohne Prophylaxe (p=1,0), 90-Tage SSI 0%, Wundheilungsstörungen 12,8% vs. 15,4% (p=0,82). Kein Unterschied in Liegedauer (beide 2 Tage). Prophylaxe nicht protektiv in Multivarianz-Analyse.</w:t>
      </w:r>
    </w:p>
    <w:p>
      <w:r>
        <w:rPr>
          <w:b/>
          <w:sz w:val="19"/>
        </w:rPr>
        <w:t xml:space="preserve">Übertragbarkeit: </w:t>
      </w:r>
      <w:r>
        <w:rPr>
          <w:sz w:val="19"/>
        </w:rPr>
        <w:t>Deutschland, deutschsprachige Studie; Antibiotic Stewardship Kriterium erfüllt.</w:t>
      </w:r>
    </w:p>
    <w:p>
      <w:r>
        <w:rPr>
          <w:color w:val="5A7D3A"/>
          <w:sz w:val="18"/>
        </w:rPr>
        <w:t>https://pubmed.ncbi.nlm.nih.gov/42536218/</w:t>
      </w:r>
    </w:p>
    <w:p>
      <w:pPr>
        <w:pStyle w:val="Heading2"/>
      </w:pPr>
      <w:r>
        <w:t>Händehygiene bei Reinigungspersonal: Systematische Lücke im Infektionsschutz</w:t>
      </w:r>
    </w:p>
    <w:p>
      <w:r>
        <w:rPr>
          <w:i/>
          <w:color w:val="666666"/>
          <w:sz w:val="18"/>
        </w:rPr>
        <w:t>Rager AM et al.  ·  Front Public Health  ·  16.07.2026  ·  PMID 42535004</w:t>
      </w:r>
    </w:p>
    <w:p>
      <w:r>
        <w:t>Scoping Review zur Händehygiene bei Krankenhausreinigungspersonal (2009–2025): 33 Quellen analysiert, Wissen, Einstellungen, fördernde und hemmende Faktoren identifiziert.</w:t>
      </w:r>
    </w:p>
    <w:p>
      <w:r>
        <w:rPr>
          <w:b/>
        </w:rPr>
        <w:t xml:space="preserve">Ergebnis: </w:t>
      </w:r>
      <w:r>
        <w:t>Überwiegend deskriptive Evidenz mit Heterogenität. Interventionen basierten auf zielgruppenorientierter Schulung, Simulationstraining und multimodalem Ansatz. Evidenzbasis klein; keine randomisierten Studien vorhanden. Intervention-Effekte nicht quantifiziert.</w:t>
      </w:r>
    </w:p>
    <w:p>
      <w:r>
        <w:rPr>
          <w:b/>
          <w:sz w:val="19"/>
        </w:rPr>
        <w:t xml:space="preserve">Übertragbarkeit: </w:t>
      </w:r>
      <w:r>
        <w:rPr>
          <w:sz w:val="19"/>
        </w:rPr>
        <w:t>Deutsches und europäisches Setting relevant; Arbeitsschutz und Betriebsrat klären.</w:t>
      </w:r>
    </w:p>
    <w:p>
      <w:r>
        <w:rPr>
          <w:color w:val="5A7D3A"/>
          <w:sz w:val="18"/>
        </w:rPr>
        <w:t>https://pubmed.ncbi.nlm.nih.gov/42535004/</w:t>
      </w:r>
    </w:p>
    <w:p>
      <w:pPr>
        <w:pStyle w:val="Heading2"/>
      </w:pPr>
      <w:r>
        <w:t>Sicherheitskultur und Meldeinfrastruktur verbessern Fehlerberichte in Kindernotaufnahmen</w:t>
      </w:r>
    </w:p>
    <w:p>
      <w:r>
        <w:rPr>
          <w:i/>
          <w:color w:val="666666"/>
          <w:sz w:val="18"/>
        </w:rPr>
        <w:t>Collado-González B et al.  ·  BMJ Open  ·  30.07.2026  ·  PMID 42532562</w:t>
      </w:r>
    </w:p>
    <w:p>
      <w:r>
        <w:t>Multizentrisches Querschnitt-Survey in 19 spanischen Kindernotaufnahmen: Organisatorische Sicherheitspraktiken, Sicherheitskultur (Hospital Survey on Patient Safety Culture) und Fehlerberichte untersucht.</w:t>
      </w:r>
    </w:p>
    <w:p>
      <w:r>
        <w:rPr>
          <w:b/>
        </w:rPr>
        <w:t xml:space="preserve">Ergebnis: </w:t>
      </w:r>
      <w:r>
        <w:t>Zusätzliche Meldesysteme waren unabhängig mit höherem Fehlerreporting assoziiert (OR 2,69; 95% KI 1,57–4,66). Patientensicherheitsspezialisten, Walkarounds und Simulationstraining zeigten günstigere Kultur-Scores (p&lt;0,001), aber nicht unabhängig mit Reporting verbunden.</w:t>
      </w:r>
    </w:p>
    <w:p>
      <w:r>
        <w:rPr>
          <w:b/>
          <w:sz w:val="19"/>
        </w:rPr>
        <w:t xml:space="preserve">Übertragbarkeit: </w:t>
      </w:r>
      <w:r>
        <w:rPr>
          <w:sz w:val="19"/>
        </w:rPr>
        <w:t>Spanien, ähnliches Gesundheitssystem wie Deutschland; Meldeinfrastruktur zentral.</w:t>
      </w:r>
    </w:p>
    <w:p>
      <w:r>
        <w:rPr>
          <w:color w:val="5A7D3A"/>
          <w:sz w:val="18"/>
        </w:rPr>
        <w:t>https://pubmed.ncbi.nlm.nih.gov/42532562/</w:t>
      </w:r>
    </w:p>
    <w:p>
      <w:pPr>
        <w:pStyle w:val="Heading1"/>
      </w:pPr>
      <w:r>
        <w:t>Aufgenommen am 27.08.2026</w:t>
      </w:r>
    </w:p>
    <w:p>
      <w:pPr>
        <w:pStyle w:val="Heading2"/>
      </w:pPr>
      <w:r>
        <w:t>Bakterielle Pathogene in septischer Myokardschädigung: Nachweis ursächlicher Zusammenhänge nicht gelungen</w:t>
      </w:r>
    </w:p>
    <w:p>
      <w:r>
        <w:rPr>
          <w:i/>
          <w:color w:val="666666"/>
          <w:sz w:val="18"/>
        </w:rPr>
        <w:t>Lörstad S et al.  ·  BMJ Open  ·  26.08.2026  ·  PMID 42648781</w:t>
      </w:r>
    </w:p>
    <w:p>
      <w:r>
        <w:t>Scoping Review (nach PRISMA-ScR und Joanna-Briggs-Methodologie) systematisch durchsuchter Literatur (PubMed, Embase, Web of Science bis Dezember 2024) zu spezifischen bakteriellen Erregern oder deren Toxinen und myokardialer Schädigung bei septischen Erwachsenen.</w:t>
      </w:r>
    </w:p>
    <w:p>
      <w:r>
        <w:rPr>
          <w:b/>
        </w:rPr>
        <w:t xml:space="preserve">Ergebnis: </w:t>
      </w:r>
      <w:r>
        <w:t>17 Studien eingeschlossen (3 Beobachtungskohorten mit 173 klinischen Patienten, 13 Fallberichte, 1 in-vitro-Studie): diverse Gram-negative und Gram-positive Erreger ohne konsistente Assoziation mit spezifischem Erreger oder Toxin. Myokardschädigung überwiegend durch Biomarker identifiziert, begrenzte Obduktionsbestätigungen. Keine Studie war für kausale oder vergleichende pathogene Mechanismen konzipiert. Verfügbare Daten zeigen heterogene infektiöse Kontexte ohne valide Erregerzuordnung.</w:t>
      </w:r>
    </w:p>
    <w:p>
      <w:r>
        <w:rPr>
          <w:b/>
          <w:sz w:val="19"/>
        </w:rPr>
        <w:t xml:space="preserve">Übertragbarkeit: </w:t>
      </w:r>
      <w:r>
        <w:rPr>
          <w:sz w:val="19"/>
        </w:rPr>
        <w:t>Skandinavien, Studiendesign zeigt Erkenntnislücke zur septischen Myokardschädigung; Implikation für Versorgung</w:t>
      </w:r>
    </w:p>
    <w:p>
      <w:r>
        <w:rPr>
          <w:color w:val="5A7D3A"/>
          <w:sz w:val="18"/>
        </w:rPr>
        <w:t>https://pubmed.ncbi.nlm.nih.gov/42648781/</w:t>
      </w:r>
    </w:p>
    <w:p>
      <w:pPr>
        <w:pStyle w:val="Heading2"/>
      </w:pPr>
      <w:r>
        <w:t>Arzneimittelkaskaden: 0,69%–3,29% Inzidenz vermeidbarer Medikationsfehler bei älteren Patienten</w:t>
      </w:r>
    </w:p>
    <w:p>
      <w:r>
        <w:rPr>
          <w:i/>
          <w:color w:val="666666"/>
          <w:sz w:val="18"/>
        </w:rPr>
        <w:t>Gervais F et al.  ·  Age Ageing  ·  03.08.2026  ·  PMID 42647768</w:t>
      </w:r>
    </w:p>
    <w:p>
      <w:r>
        <w:t>Analyse von 16,6 Mio. französischen Patientendaten ≥65 Jahren zur Häufigkeit von Arzneimittelkaskaden (unerwünschte Arzneimittelwirkungen, die fälschlicherweise als neue Erkrankung interpretiert werden und zu zusätzlichen Verschreibungen führen).</w:t>
      </w:r>
    </w:p>
    <w:p>
      <w:r>
        <w:rPr>
          <w:b/>
        </w:rPr>
        <w:t xml:space="preserve">Ergebnis: </w:t>
      </w:r>
      <w:r>
        <w:t>Bei 67% der Patienten mit kognitiver Beeinträchtigung lag Polypharmazie vor. Vier von sieben potenzielle Kaskaden zeigten signifikante positive Signale; stärkste: Benzodiazepin-Antipsychotika-Kaskade (adjustiertes Sequenzratio 2,48, 99%-KI 2,44–2,51) und Antipsychotika-Antiparkinson-Kaskade (2,01, 99%-KI 1,91–2,11). Inzidenz 0,69%–3,29%. Weibliches Geschlecht, Alter ≥85 Jahre, Hospitalisierungsbeginn der Indexmedikation und fehlende Verschreiberkontinuität waren mit höherem Kaskadenrisiko assoziiert.</w:t>
      </w:r>
    </w:p>
    <w:p>
      <w:r>
        <w:rPr>
          <w:b/>
          <w:sz w:val="19"/>
        </w:rPr>
        <w:t xml:space="preserve">Übertragbarkeit: </w:t>
      </w:r>
      <w:r>
        <w:rPr>
          <w:sz w:val="19"/>
        </w:rPr>
        <w:t>Frankreich, vergleichbar mit deutschem Sozialversicherungssystem und Dokumentationspflichten</w:t>
      </w:r>
    </w:p>
    <w:p>
      <w:r>
        <w:rPr>
          <w:color w:val="5A7D3A"/>
          <w:sz w:val="18"/>
        </w:rPr>
        <w:t>https://pubmed.ncbi.nlm.nih.gov/42647768/</w:t>
      </w:r>
    </w:p>
    <w:p>
      <w:pPr>
        <w:pStyle w:val="Heading2"/>
      </w:pPr>
      <w:r>
        <w:t>Periphere Vasopressoren: Protokollabweichungen führten selten zu klinisch relevanter Gewebeschädigung</w:t>
      </w:r>
    </w:p>
    <w:p>
      <w:r>
        <w:rPr>
          <w:i/>
          <w:color w:val="666666"/>
          <w:sz w:val="18"/>
        </w:rPr>
        <w:t>Shyu D et al.  ·  Crit Care Explor  ·  01.09.2026  ·  PMID 42640631</w:t>
      </w:r>
    </w:p>
    <w:p>
      <w:r>
        <w:t>Retrospektive Observationsstudie in 10 Krankenhäusern (Oktober 2020–Mai 2023) zu Abweichungen von einem institutionellen Protokoll für periphere Vasopressorengabe und deren Assoziation mit Extravasationen.</w:t>
      </w:r>
    </w:p>
    <w:p>
      <w:r>
        <w:rPr>
          <w:b/>
        </w:rPr>
        <w:t xml:space="preserve">Ergebnis: </w:t>
      </w:r>
      <w:r>
        <w:t>Von 3518 Patienten mit peripherer Vasopressorengabe hatten 1258 verdächtige Protokollabweichungen; 73 von 162 zur Detailrevision ausgewählten bestätigt: 86,3% überschritten Höchstdosis, 23 bekamen mehrere gleichzeitig, 13 infundiert &gt;24h, 13 periphere Vasopressin. 79,4% der Abweichungen bei Schock-Verschlimmerung vor zentralem Zugang. Extravasation: 13,7% (10 Patienten), 3 erhielten Phentolamin. In Sekundäranalyse: 47/3518 (1,3%) bekamen Phentolamin, davon 72,4% protokollkonform zum Zeitpunkt der Extravasation.</w:t>
      </w:r>
    </w:p>
    <w:p>
      <w:r>
        <w:rPr>
          <w:b/>
          <w:sz w:val="19"/>
        </w:rPr>
        <w:t xml:space="preserve">Übertragbarkeit: </w:t>
      </w:r>
      <w:r>
        <w:rPr>
          <w:sz w:val="19"/>
        </w:rPr>
        <w:t>USA, aber Sicherheitsbefund unabhängig von System; Frage der Protokollsicherheit übertragbar</w:t>
      </w:r>
    </w:p>
    <w:p>
      <w:r>
        <w:rPr>
          <w:color w:val="5A7D3A"/>
          <w:sz w:val="18"/>
        </w:rPr>
        <w:t>https://pubmed.ncbi.nlm.nih.gov/42640631/</w:t>
      </w:r>
    </w:p>
    <w:p>
      <w:pPr>
        <w:pStyle w:val="Heading2"/>
      </w:pPr>
      <w:r>
        <w:t>Spezielles Endotrachealtubus-System reduziert mikrobielle Vermischung zwischen Atemwegsetagen bei Beatmung</w:t>
      </w:r>
    </w:p>
    <w:p>
      <w:r>
        <w:rPr>
          <w:i/>
          <w:color w:val="666666"/>
          <w:sz w:val="18"/>
        </w:rPr>
        <w:t>Pilkowski AE et al.  ·  Respir Res  ·  01.08.2026  ·  PMID 42571013</w:t>
      </w:r>
    </w:p>
    <w:p>
      <w:r>
        <w:t>Randomisierte Pilotstudie (n=50, 21 mit kompletten Daten) zum Vergleich eines Spezial-Endotrachealtubus (Venner PneuX®) mit permanenter Cuff-Druckkontrolle, subglottischer Absaugung und biofilm-resistenter Beschichtung gegenüber Standard-Intubation bezüglich mikrobieller Austausche zwischen Atemwegsetagen als indirektes Messkriterium für Mikroaspiration bei Beatmungs-assoziierter Pneumonie (VAP).</w:t>
      </w:r>
    </w:p>
    <w:p>
      <w:r>
        <w:rPr>
          <w:b/>
        </w:rPr>
        <w:t xml:space="preserve">Ergebnis: </w:t>
      </w:r>
      <w:r>
        <w:t>Standard-Intubation führte zu progressiver mikrobieller Konvergenz zwischen Tubus und Trachealsekreten (Morisita-Horn 0,55→0,30, p=0,001) sowie Divergenz der Lungenregionen (0,08→0,31, p=0,003). Im Venner-PneuX-Gruppe zeigten sich keine signifikanten Distanzänderungen. Die Ergebnisse bieten biologische Plausibilität für bisher berichtete VAP-Reduktionen mit diesem System.</w:t>
      </w:r>
    </w:p>
    <w:p>
      <w:r>
        <w:rPr>
          <w:b/>
          <w:sz w:val="19"/>
        </w:rPr>
        <w:t xml:space="preserve">Übertragbarkeit: </w:t>
      </w:r>
      <w:r>
        <w:rPr>
          <w:sz w:val="19"/>
        </w:rPr>
        <w:t>Deutschland, prospektive Pilotdaten für klinisch relevante Prävention; externe Validierung ausstehend</w:t>
      </w:r>
    </w:p>
    <w:p>
      <w:r>
        <w:rPr>
          <w:color w:val="5A7D3A"/>
          <w:sz w:val="18"/>
        </w:rPr>
        <w:t>https://pubmed.ncbi.nlm.nih.gov/42571013/</w:t>
      </w:r>
    </w:p>
    <w:p>
      <w:pPr>
        <w:pStyle w:val="Heading2"/>
      </w:pPr>
      <w:r>
        <w:t>Therapieunterbrechungsfehler an automatisierten Dialysegeräten: 49 Fehlertypen systematisch kategorisiert und gelöst</w:t>
      </w:r>
    </w:p>
    <w:p>
      <w:r>
        <w:rPr>
          <w:i/>
          <w:color w:val="666666"/>
          <w:sz w:val="18"/>
        </w:rPr>
        <w:t>Albert A et al.  ·  BMC Health Serv Res  ·  08.08.2026  ·  PMID 42571003</w:t>
      </w:r>
    </w:p>
    <w:p>
      <w:r>
        <w:t>Retrospektive Analyse von Systemfehlern an HomeChoice-Dialysegeräten (2015–2023) in einer deutschen Referenzklinik mit Ziel, Therapieunterbrechungen zu dokumentieren und lösungsorientierte Strategien für Pflegepersonal und Patienten bereitzustellen.</w:t>
      </w:r>
    </w:p>
    <w:p>
      <w:r>
        <w:rPr>
          <w:b/>
        </w:rPr>
        <w:t xml:space="preserve">Ergebnis: </w:t>
      </w:r>
      <w:r>
        <w:t>49 verschiedene Fehlertypen in 138 Zwischenfällen über 8 Jahre identifiziert und in 8 Kategorien eingeteilt: Druckkammer-assoziiert (21,74%), Luft im System (19,57%, Fehler 2240 in 17,39%), Digitalboard/EEPROM (17,39%), Energiesystem (16,67%), Türöffnung (7,25%), Heizung (4,35%), ungeklärt (12,32%). Gesamt-Fehlerrate: &lt;0,25% der Behandlungssitzungen. Konkrete Troubleshooting-Algorithmen für Personal und Patienten bereitgestellt.</w:t>
      </w:r>
    </w:p>
    <w:p>
      <w:r>
        <w:rPr>
          <w:b/>
          <w:sz w:val="19"/>
        </w:rPr>
        <w:t xml:space="preserve">Übertragbarkeit: </w:t>
      </w:r>
      <w:r>
        <w:rPr>
          <w:sz w:val="19"/>
        </w:rPr>
        <w:t>Deutschland, routinelle Klinikdaten, direkt übertragbar für Schulung und Herstellerkommunikation</w:t>
      </w:r>
    </w:p>
    <w:p>
      <w:r>
        <w:rPr>
          <w:color w:val="5A7D3A"/>
          <w:sz w:val="18"/>
        </w:rPr>
        <w:t>https://pubmed.ncbi.nlm.nih.gov/42571003/</w:t>
      </w:r>
    </w:p>
    <w:p>
      <w:pPr>
        <w:pStyle w:val="Heading2"/>
      </w:pPr>
      <w:r>
        <w:t>Präoperative Optimierung vor Hüftgelenksersatz: kein signifikanter Effekt auf Infektionen oder Mortalität</w:t>
      </w:r>
    </w:p>
    <w:p>
      <w:r>
        <w:rPr>
          <w:i/>
          <w:color w:val="666666"/>
          <w:sz w:val="18"/>
        </w:rPr>
        <w:t>Sigurdardottir M et al.  ·  BMJ Open  ·  06.08.2026  ·  PMID 42562582</w:t>
      </w:r>
    </w:p>
    <w:p>
      <w:r>
        <w:t>Prospektive quasi-experimentelle Studie mit 1484 Patienten (Interventionsgruppe n=746, Kontrollgruppe n=738) zur Auswirkung eines multifaktoriellen Optimierungsprogramms 6–12 Monate vor elektiven Gelenkersatzoperationen auf oberflächliche Wundinfektionen (SSI), periprosthetic joint infections (PJI) und Mortalität über 3 Jahre.</w:t>
      </w:r>
    </w:p>
    <w:p>
      <w:r>
        <w:rPr>
          <w:b/>
        </w:rPr>
        <w:t xml:space="preserve">Ergebnis: </w:t>
      </w:r>
      <w:r>
        <w:t>Oberflächliche SSI nach 1 Jahr: 5,9% vs. 7,9% (HR 0,67, 95%-KI 0,45–1,01, nicht signifikant). PJI: 2,0% vs. 1,1% (HR 1,80, 95%-KI 0,76–4,30, nicht signifikant). Keine signifikanten Unterschiede bei Mortalität oder postoperativer Gesundheit nach 3 Jahren. Die Interventionsgruppe war zu 77% während der COVID-19-Pandemie operiert worden versus 5% in der Kontrollgruppe.</w:t>
      </w:r>
    </w:p>
    <w:p>
      <w:r>
        <w:rPr>
          <w:b/>
          <w:sz w:val="19"/>
        </w:rPr>
        <w:t xml:space="preserve">Übertragbarkeit: </w:t>
      </w:r>
      <w:r>
        <w:rPr>
          <w:sz w:val="19"/>
        </w:rPr>
        <w:t>Island, Strukturen ähnlich deutschem Gesundheitswesen, klare Lessons-learned für Qualitätsinterventionen</w:t>
      </w:r>
    </w:p>
    <w:p>
      <w:r>
        <w:rPr>
          <w:color w:val="5A7D3A"/>
          <w:sz w:val="18"/>
        </w:rPr>
        <w:t>https://pubmed.ncbi.nlm.nih.gov/42562582/</w:t>
      </w:r>
    </w:p>
    <w:p>
      <w:pPr>
        <w:pStyle w:val="Heading1"/>
      </w:pPr>
      <w:r>
        <w:t>Aufgenommen am 26.08.2026</w:t>
      </w:r>
    </w:p>
    <w:p>
      <w:pPr>
        <w:pStyle w:val="Heading2"/>
      </w:pPr>
      <w:r>
        <w:t>Verzögerte Antibiotikaverordnung mit Entscheidungshilfe reduzierte unangemessene Anwendung um ein Drittel</w:t>
      </w:r>
    </w:p>
    <w:p>
      <w:r>
        <w:rPr>
          <w:i/>
          <w:color w:val="666666"/>
          <w:sz w:val="18"/>
        </w:rPr>
        <w:t>Sievert EDC et al.  ·  Appl Psychol Health Well Being  ·  Aug. 2026  ·  PMID 42568140</w:t>
      </w:r>
    </w:p>
    <w:p>
      <w:r>
        <w:t>Online-Experiment mit 663 britischen Erwachsenen zur Wirkung von WHO-Entscheidungshilfematerial auf verzögerte Antibiotikaverordnungen bei vermuteten Virusinfektionen unter Verhaltensanreizen.</w:t>
      </w:r>
    </w:p>
    <w:p>
      <w:r>
        <w:rPr>
          <w:b/>
        </w:rPr>
        <w:t xml:space="preserve">Ergebnis: </w:t>
      </w:r>
      <w:r>
        <w:t>Unangemessene Antibiotikaverwendung war in allen Entscheidungsunterstützungs-Bedingungen niedriger als in Kontrolle (p&lt;0,001, ηG²=0,02). Entscheidungskonflikt sank signifikant in Interventions-Armen (p&lt;0,001, ηG²=0,02) durch verbesserte Wertklarheit und wahrgenommene Unterstützung. Kombination aus Entscheidungshilfe, Wertintegration und aktivem Symptommonitoring zeigte beste Effekte.</w:t>
      </w:r>
    </w:p>
    <w:p>
      <w:r>
        <w:rPr>
          <w:b/>
          <w:sz w:val="19"/>
        </w:rPr>
        <w:t xml:space="preserve">Übertragbarkeit: </w:t>
      </w:r>
      <w:r>
        <w:rPr>
          <w:sz w:val="19"/>
        </w:rPr>
        <w:t>UK mit NHS-Struktur; Antibiotika-Stewardship-Prinzipien in Deutschland etabliert, Übertragbarkeit gut.</w:t>
      </w:r>
    </w:p>
    <w:p>
      <w:r>
        <w:rPr>
          <w:color w:val="5A7D3A"/>
          <w:sz w:val="18"/>
        </w:rPr>
        <w:t>https://pubmed.ncbi.nlm.nih.gov/42568140/</w:t>
      </w:r>
    </w:p>
    <w:p>
      <w:pPr>
        <w:pStyle w:val="Heading2"/>
      </w:pPr>
      <w:r>
        <w:t>Strukturiertes Infektionsrisiko-Assessment identifiziert 65 % der Patienten als gefährdet</w:t>
      </w:r>
    </w:p>
    <w:p>
      <w:r>
        <w:rPr>
          <w:i/>
          <w:color w:val="666666"/>
          <w:sz w:val="18"/>
        </w:rPr>
        <w:t>Luís TB et al.  ·  Front Public Health  ·  23.07.2026  ·  PMID 42564447</w:t>
      </w:r>
    </w:p>
    <w:p>
      <w:r>
        <w:t>Multizentrisches Querschnitts-Observatorium mit 1.092 hospitalisierten Erwachsenen in Portugal zur Prävalenz und Risikofaktoren für Infektionen mittels RAC-Skala (Risk Assessment for Infection).</w:t>
      </w:r>
    </w:p>
    <w:p>
      <w:r>
        <w:rPr>
          <w:b/>
        </w:rPr>
        <w:t xml:space="preserve">Ergebnis: </w:t>
      </w:r>
      <w:r>
        <w:t>Moderate (53,6 %) oder hohe (11,4 %) Infektionsrisiken nach Perzentil-Stratifikation. Höhere Risiken assoziiert mit Alter, Multimorbidität, beeinträchtigter Gewebsintegrität, reduzierter Mobilität, Vorspitalisierung, Verlegung, Liegedauer, invasiven Prozeduren. ROC-Analyse mit guter Diskriminierung; Medizin-Stationen hatten signifikant höhere Risikoscores als Chirurgie.</w:t>
      </w:r>
    </w:p>
    <w:p>
      <w:r>
        <w:rPr>
          <w:b/>
          <w:sz w:val="19"/>
        </w:rPr>
        <w:t xml:space="preserve">Übertragbarkeit: </w:t>
      </w:r>
      <w:r>
        <w:rPr>
          <w:sz w:val="19"/>
        </w:rPr>
        <w:t>Portugal/SÜDEUROPA mit ähnlichen Dokumentationssystemen; RAC-Skala als strukturiertes Instrument universell anwendbar.</w:t>
      </w:r>
    </w:p>
    <w:p>
      <w:r>
        <w:rPr>
          <w:color w:val="5A7D3A"/>
          <w:sz w:val="18"/>
        </w:rPr>
        <w:t>https://pubmed.ncbi.nlm.nih.gov/42564447/</w:t>
      </w:r>
    </w:p>
    <w:p>
      <w:pPr>
        <w:pStyle w:val="Heading1"/>
      </w:pPr>
      <w:r>
        <w:t>Aufgenommen am 25.08.2026</w:t>
      </w:r>
    </w:p>
    <w:p>
      <w:pPr>
        <w:pStyle w:val="Heading2"/>
      </w:pPr>
      <w:r>
        <w:t>Online-adaptive Radiotherapie: Systemische FMEA identifiziert 300 Fehlermöglichkeiten</w:t>
      </w:r>
    </w:p>
    <w:p>
      <w:r>
        <w:rPr>
          <w:i/>
          <w:color w:val="666666"/>
          <w:sz w:val="18"/>
        </w:rPr>
        <w:t>Balaji D et al.  ·  J Appl Clin Med Phys  ·  Sept. 2026  ·  PMID 42638337</w:t>
      </w:r>
    </w:p>
    <w:p>
      <w:r>
        <w:t>Systematische Literaturübersicht von 11 Studien analysiert Fehlermodi und deren Auswirkungen (FMEA) in Workflows der Online-Adaptive Radiotherapie (MR-guided, CBCT-guided, MR-enhanced C-arm Systeme).</w:t>
      </w:r>
    </w:p>
    <w:p>
      <w:r>
        <w:rPr>
          <w:b/>
        </w:rPr>
        <w:t xml:space="preserve">Ergebnis: </w:t>
      </w:r>
      <w:r>
        <w:t>300 einzigartige Fehlermodi identifiziert, 49,6% als hochriskant (Klasse III) klassifiziert. Hochriskante Fehler konzentrieren sich in Online-Behandlungs-Phase, besonders bei Mensch-Computer-Interaktion und anatomischer Konturierung. Analyse zeigt Heterogenität in Risiko-Bewertungsmethoden, harmonisiert zu 3er-Klassifikation (Class I: niedrig, II: mittel, III: hoch).</w:t>
      </w:r>
    </w:p>
    <w:p>
      <w:r>
        <w:rPr>
          <w:b/>
          <w:sz w:val="19"/>
        </w:rPr>
        <w:t xml:space="preserve">Übertragbarkeit: </w:t>
      </w:r>
      <w:r>
        <w:rPr>
          <w:sz w:val="19"/>
        </w:rPr>
        <w:t>Deutschland und Benelux, vergleichbare Qualitätsmanagementsysteme in klinischen Zentren</w:t>
      </w:r>
    </w:p>
    <w:p>
      <w:r>
        <w:rPr>
          <w:color w:val="5A7D3A"/>
          <w:sz w:val="18"/>
        </w:rPr>
        <w:t>https://pubmed.ncbi.nlm.nih.gov/42638337/</w:t>
      </w:r>
    </w:p>
    <w:p>
      <w:pPr>
        <w:pStyle w:val="Heading2"/>
      </w:pPr>
      <w:r>
        <w:t>Nosokomiale Ausbrüche in Hämatologie-Onkologie: Strukturierte Analyse identifiziert Risikofaktoren</w:t>
      </w:r>
    </w:p>
    <w:p>
      <w:r>
        <w:rPr>
          <w:i/>
          <w:color w:val="666666"/>
          <w:sz w:val="18"/>
        </w:rPr>
        <w:t>Posselt SL et al.  ·  BMC Infect Dis  ·  20.08.2026  ·  PMID 42638092</w:t>
      </w:r>
    </w:p>
    <w:p>
      <w:r>
        <w:t>Strukturierte Analyse von 196 nosokomialen Ausbrüchen in Hämatologie und Onkologie aus internationaler Datenbank mit Betrachtung von Infektionserregern, Übertragungswegen und implementierten Infektionskontrollmaßnahmen.</w:t>
      </w:r>
    </w:p>
    <w:p>
      <w:r>
        <w:rPr>
          <w:b/>
        </w:rPr>
        <w:t xml:space="preserve">Ergebnis: </w:t>
      </w:r>
      <w:r>
        <w:t>Blutstream- und untere Atemwegsinfektionen waren am häufigsten; Pseudomonas aeruginosa und Enterokokken als Haupterreger. Multivariable Analyse identifizierte als unabhängig assoziiert mit hohem Infektionskontrollaufwand: Pilzerreger (OR 6,26; KI 1,60–24,44), multiresistente Bakterien (OR 6,01; KI 2,56–14,09), antibiotische Therapie (OR 2,97; KI 1,05–8,38), ≥10 Patienten in Ausbruch (OR 2,54; KI 1,11–5,81), direkter Kontakttransfer (OR 3,42; KI 1,43–8,16). Untere Atemwegsinfektionen stark assoziiert mit Mortalität (OR 7,95; KI 2,06–30,73).</w:t>
      </w:r>
    </w:p>
    <w:p>
      <w:r>
        <w:rPr>
          <w:b/>
          <w:sz w:val="19"/>
        </w:rPr>
        <w:t xml:space="preserve">Übertragbarkeit: </w:t>
      </w:r>
      <w:r>
        <w:rPr>
          <w:sz w:val="19"/>
        </w:rPr>
        <w:t>Deutschland, vergleichbare Surveillance-Standards und Dokumentationspflichten</w:t>
      </w:r>
    </w:p>
    <w:p>
      <w:r>
        <w:rPr>
          <w:color w:val="5A7D3A"/>
          <w:sz w:val="18"/>
        </w:rPr>
        <w:t>https://pubmed.ncbi.nlm.nih.gov/42638092/</w:t>
      </w:r>
    </w:p>
    <w:p>
      <w:pPr>
        <w:pStyle w:val="Heading2"/>
      </w:pPr>
      <w:r>
        <w:t>Arzneimittelwechselwirkungen: Unterschiede zwischen Schweizer und österreichischem Meldesystem</w:t>
      </w:r>
    </w:p>
    <w:p>
      <w:r>
        <w:rPr>
          <w:i/>
          <w:color w:val="666666"/>
          <w:sz w:val="18"/>
        </w:rPr>
        <w:t>Rainer M et al.  ·  PLoS One  ·  21.08.2026  ·  PMID 42627821</w:t>
      </w:r>
    </w:p>
    <w:p>
      <w:r>
        <w:t>Retrospektive Analyse von 1499 Meldungen zu Arzneimittelwechselwirkungen in Pharmakvigilanz-Systemen der Schweiz (n=1159) und Österreich (n=340) zwischen 2008 und April 2024 mit Fokus auf Unterschiede in Meldevolumen, Qualität und Systemeigenheiten.</w:t>
      </w:r>
    </w:p>
    <w:p>
      <w:r>
        <w:rPr>
          <w:b/>
        </w:rPr>
        <w:t xml:space="preserve">Ergebnis: </w:t>
      </w:r>
      <w:r>
        <w:t>Schweiz meldete 3,4-mal mehr Fälle als Österreich (5,8 vs. 1,7 Fälle/Monat). 80% (CH) bzw. 84% (Ö) als schwerwiegend klassifiziert. Polypharmie stark assoziiert mit schwerwiegenden Folgen (CH: ROR 3,71; KI 3,26–4,23, p&lt;0,0001; Ö: ROR 1,98; KI 1,60–2,44, p&lt;0,0001). Unterschiede in Meldeinhalten: Schweiz eher Mechanismen, Österreich eher Symptome. Unterschiede deuten auf Rolle von Systemdesign und klinischer Pharmazie hin.</w:t>
      </w:r>
    </w:p>
    <w:p>
      <w:r>
        <w:rPr>
          <w:b/>
          <w:sz w:val="19"/>
        </w:rPr>
        <w:t xml:space="preserve">Übertragbarkeit: </w:t>
      </w:r>
      <w:r>
        <w:rPr>
          <w:sz w:val="19"/>
        </w:rPr>
        <w:t>DACH, vergleichbare Gesundheitssysteme und Pharmakvigilanz-Strukturen</w:t>
      </w:r>
    </w:p>
    <w:p>
      <w:r>
        <w:rPr>
          <w:color w:val="5A7D3A"/>
          <w:sz w:val="18"/>
        </w:rPr>
        <w:t>https://pubmed.ncbi.nlm.nih.gov/42627821/</w:t>
      </w:r>
    </w:p>
    <w:p>
      <w:pPr>
        <w:pStyle w:val="Heading2"/>
      </w:pPr>
      <w:r>
        <w:t>Antibiotic Stewardship bei Harnwegsinfektionen im Alter senkte Resistenzen</w:t>
      </w:r>
    </w:p>
    <w:p>
      <w:r>
        <w:rPr>
          <w:i/>
          <w:color w:val="666666"/>
          <w:sz w:val="18"/>
        </w:rPr>
        <w:t>Attauabi M et al.  ·  Euro Surveill  ·  Aug. 2026  ·  PMID 42626792</w:t>
      </w:r>
    </w:p>
    <w:p>
      <w:r>
        <w:t>Nationale Registerstudie in Dänemark (1999–2023) untersucht Zusammenhang zwischen Antibiotikaverbrauch und Resistenzentwicklung gegen Pivmecillinam, Trimethoprim, Nitrofurantoin und Sulfamethizol bei Patienten ≥70 Jahren; Fokus auf Qualitätsverbesserungen seit 2005.</w:t>
      </w:r>
    </w:p>
    <w:p>
      <w:r>
        <w:rPr>
          <w:b/>
        </w:rPr>
        <w:t xml:space="preserve">Ergebnis: </w:t>
      </w:r>
      <w:r>
        <w:t>Höchster Antibiotikaverbrauch 2014 (447 Rezepte pro 1000 Personen ≥70 Jahre), bis 2023 um 28,4% gesunken. Resistenz gegen alle vier Substanzen in E. coli und K. pneumoniae signifikant rückläufig 2018–2023. Stewardship-Intensivierung nach 2013 mit aktualisierten Leitlinien positiv auf Verbrauch und Resistenzen wirksam.</w:t>
      </w:r>
    </w:p>
    <w:p>
      <w:r>
        <w:rPr>
          <w:b/>
          <w:sz w:val="19"/>
        </w:rPr>
        <w:t xml:space="preserve">Übertragbarkeit: </w:t>
      </w:r>
      <w:r>
        <w:rPr>
          <w:sz w:val="19"/>
        </w:rPr>
        <w:t>Skandinavien, vergleichbare Surveillance-Infrastruktur und Stewardship-Rahmenbedingungen</w:t>
      </w:r>
    </w:p>
    <w:p>
      <w:r>
        <w:rPr>
          <w:color w:val="5A7D3A"/>
          <w:sz w:val="18"/>
        </w:rPr>
        <w:t>https://pubmed.ncbi.nlm.nih.gov/42626792/</w:t>
      </w:r>
    </w:p>
    <w:p>
      <w:pPr>
        <w:pStyle w:val="Heading2"/>
      </w:pPr>
      <w:r>
        <w:t>Nosokomiale Infektionen nach Gastrointestinal-Krebsoperation: Neoadjuvante Radiotherapie als Risikofaktor</w:t>
      </w:r>
    </w:p>
    <w:p>
      <w:r>
        <w:rPr>
          <w:i/>
          <w:color w:val="666666"/>
          <w:sz w:val="18"/>
        </w:rPr>
        <w:t>Fieraru IM et al.  ·  Front Public Health  ·  05.08.2026  ·  PMID 42620635</w:t>
      </w:r>
    </w:p>
    <w:p>
      <w:r>
        <w:t>Prospektive Beobachtungsstudie in rumänischem Zentrum (211 Patienten, Mai 2023–Juli 2024) an Magen- und Kolonkarzinom-Operationen: 30-Tage-Infektionen dokumentiert, Risikofaktoren analysiert, Antibiotikaresistenzprofil beschrieben.</w:t>
      </w:r>
    </w:p>
    <w:p>
      <w:r>
        <w:rPr>
          <w:b/>
        </w:rPr>
        <w:t xml:space="preserve">Ergebnis: </w:t>
      </w:r>
      <w:r>
        <w:t>15,6% entwickelten ≥1 nosokomiale Infektion (39 Episoden). Chirurgische Wundinfektionen dominant nach unterem GI-Trakt (~46%), Geräte-/Atemwegsinfektionen nach oberem Trakt (~38%). Neoadjuvante Radiotherapie unabhängiger Risikofaktor bei Kolonkarzinom (adj. OR 3,25; KI 1,15–9,19; p=0,026). Von 27 kulturpositiven Isolaten 44,4% multiresistent, einschließlich Carbapenemase-Produzenten; 36,4% Infektionen ohne Kulturdokumentation.</w:t>
      </w:r>
    </w:p>
    <w:p>
      <w:r>
        <w:rPr>
          <w:b/>
          <w:sz w:val="19"/>
        </w:rPr>
        <w:t xml:space="preserve">Übertragbarkeit: </w:t>
      </w:r>
      <w:r>
        <w:rPr>
          <w:sz w:val="19"/>
        </w:rPr>
        <w:t>Osteuropa, aber Infektionserkennung und Dokumentationslücken sind universell relevant</w:t>
      </w:r>
    </w:p>
    <w:p>
      <w:r>
        <w:rPr>
          <w:color w:val="5A7D3A"/>
          <w:sz w:val="18"/>
        </w:rPr>
        <w:t>https://pubmed.ncbi.nlm.nih.gov/42620635/</w:t>
      </w:r>
    </w:p>
    <w:p>
      <w:pPr>
        <w:pStyle w:val="Heading2"/>
      </w:pPr>
      <w:r>
        <w:t>Pediatrisches Trigger-Tool für Deutschsprachige Kinder identifiziert Schäden reliabel</w:t>
      </w:r>
    </w:p>
    <w:p>
      <w:r>
        <w:rPr>
          <w:i/>
          <w:color w:val="666666"/>
          <w:sz w:val="18"/>
        </w:rPr>
        <w:t>Peters A et al.  ·  Eur J Pediatr  ·  17.08.2026  ·  PMID 42608613</w:t>
      </w:r>
    </w:p>
    <w:p>
      <w:r>
        <w:t>Methodische Studie in deutscher Kinderkardiologie (200 stationäre Patienten) entwickelt und validiert das Paediatric Trigger Tool German (PAED-TT-GER) zur retrospektiven Erkennung unerwünschter Ereignisse in Kinderkrankenhäusern.</w:t>
      </w:r>
    </w:p>
    <w:p>
      <w:r>
        <w:rPr>
          <w:b/>
        </w:rPr>
        <w:t xml:space="preserve">Ergebnis: </w:t>
      </w:r>
      <w:r>
        <w:t>57 Trigger ausgewählt (54 Normalstation + 3 PICU). Interrater-Reliabilität gut (ICC 0,794; KI 0,557–0,906). In 200 Patienten 472 Trigger identifiziert (Mittel 2,36/Patient), 45 unerwünschte Ereignisse in 42/200 Patienten (21%) bestätigt. NCC-MERP-Klassifikation: 24 Ereignisse temporärer Schaden mit Intervention (E), 19 verlängerte Hospitalisierung (F), 2 permanenter Schaden (G); 7 (15,6%) präventabel bewertet.</w:t>
      </w:r>
    </w:p>
    <w:p>
      <w:r>
        <w:rPr>
          <w:b/>
          <w:sz w:val="19"/>
        </w:rPr>
        <w:t xml:space="preserve">Übertragbarkeit: </w:t>
      </w:r>
      <w:r>
        <w:rPr>
          <w:sz w:val="19"/>
        </w:rPr>
        <w:t>Deutsches Kinderkardiologie-Zentrum, unmittelbar auf deutsches System übertragbar</w:t>
      </w:r>
    </w:p>
    <w:p>
      <w:r>
        <w:rPr>
          <w:color w:val="5A7D3A"/>
          <w:sz w:val="18"/>
        </w:rPr>
        <w:t>https://pubmed.ncbi.nlm.nih.gov/42608613/</w:t>
      </w:r>
    </w:p>
    <w:p>
      <w:pPr>
        <w:pStyle w:val="Heading2"/>
      </w:pPr>
      <w:r>
        <w:t>Hand-Hygiene-Champion-Programm erhöht Compliance auf Intensivstationen signifikant</w:t>
      </w:r>
    </w:p>
    <w:p>
      <w:r>
        <w:rPr>
          <w:i/>
          <w:color w:val="666666"/>
          <w:sz w:val="18"/>
        </w:rPr>
        <w:t>Batalla MGA et al.  ·  Br J Nurs  ·  06.08.2026  ·  PMID 42555589</w:t>
      </w:r>
    </w:p>
    <w:p>
      <w:r>
        <w:t>Qualitätsverbesserungsprojekt in zwei britischen Universitätsklinika (Februar 2025–Februar 2026) implementiert Hand-Hygiene-Champion-Rolle und misst deren Effekt auf Händehygiene-Compliance in der Intensivmedizin mit Plan-Do-Study-Act-Zyklus.</w:t>
      </w:r>
    </w:p>
    <w:p>
      <w:r>
        <w:rPr>
          <w:b/>
        </w:rPr>
        <w:t xml:space="preserve">Ergebnis: </w:t>
      </w:r>
      <w:r>
        <w:t>Händehygiene-Compliance signifikant höher in Interventionsgruppe mit Champions als in Kontrollgruppe. Compliance stieg über Zeit signifikant post-Implementierung der Hand-Hygiene-Champions an. Programm zeigt Praktikabilität zur Verbesserung Händehygiene-Einhaltung in ICU.</w:t>
      </w:r>
    </w:p>
    <w:p>
      <w:r>
        <w:rPr>
          <w:b/>
          <w:sz w:val="19"/>
        </w:rPr>
        <w:t xml:space="preserve">Übertragbarkeit: </w:t>
      </w:r>
      <w:r>
        <w:rPr>
          <w:sz w:val="19"/>
        </w:rPr>
        <w:t>Vereinigtes Königreich, aber aktive Surveillance mit Peer-Coaching ist international übertragbar</w:t>
      </w:r>
    </w:p>
    <w:p>
      <w:r>
        <w:rPr>
          <w:color w:val="5A7D3A"/>
          <w:sz w:val="18"/>
        </w:rPr>
        <w:t>https://pubmed.ncbi.nlm.nih.gov/42555589/</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Patientensicherheit</dc:title>
  <dc:subject/>
  <dc:creator>Monitor Versorgungsforschung</dc:creator>
  <cp:keywords/>
  <dc:description>generated by python-docx</dc:description>
  <cp:lastModifiedBy/>
  <cp:revision>1</cp:revision>
  <dcterms:created xsi:type="dcterms:W3CDTF">2026-10-27T06:00:00Z</dcterms:created>
  <dcterms:modified xsi:type="dcterms:W3CDTF">2026-10-27T06:00:00Z</dcterms:modified>
  <cp:category/>
</cp:coreProperties>
</file>