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Patientensicherheit</w:t>
      </w:r>
    </w:p>
    <w:p>
      <w:r>
        <w:rPr>
          <w:i/>
          <w:color w:val="666666"/>
          <w:sz w:val="18"/>
        </w:rPr>
        <w:t>Stand: 13.10.2026  |  6 Studien  |  safety.m-vf.de</w:t>
      </w:r>
    </w:p>
    <w:p>
      <w:pPr>
        <w:pStyle w:val="Heading1"/>
      </w:pPr>
      <w:r>
        <w:t>Aufgenommen am 13.10.2026</w:t>
      </w:r>
    </w:p>
    <w:p>
      <w:pPr>
        <w:pStyle w:val="Heading2"/>
      </w:pPr>
      <w:r>
        <w:t>Elternbeteiligung in Kindersicherheitsinterventionen: systematische Übersicht von 111 Studien</w:t>
      </w:r>
    </w:p>
    <w:p>
      <w:r>
        <w:rPr>
          <w:i/>
          <w:color w:val="666666"/>
          <w:sz w:val="18"/>
        </w:rPr>
        <w:t>Purchase T et al.  ·  Health Expect  ·  Okt. 2026  ·  PMID 42861431</w:t>
      </w:r>
    </w:p>
    <w:p>
      <w:r>
        <w:t>Systematische Übersicht von 111 Studien zur Einbeziehung von Eltern in Sicherheitsinterventionen bei Kindern (Medikation, Kommunikation, Diagnose).</w:t>
      </w:r>
    </w:p>
    <w:p>
      <w:r>
        <w:rPr>
          <w:b/>
        </w:rPr>
        <w:t xml:space="preserve">Ergebnis: </w:t>
      </w:r>
      <w:r>
        <w:t>Interventionen adressierten primär direkte Patientenpflege (97,3%) durch Konsultationen (70,3%), erreichten aber bei Elternbeteiligung im Design und in Forschung nur Informationsstufe (59,5%). 65% der Studien in Sekundärversorgung, 39% experimentelles Design, 50% Fokus auf Medikationssicherheit. Elternengagement blieb inkonsistent und oft unverbindlich ohne Messung echter Sicherheitsergebnisse.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vergleichbare Gesundheitssysteme im Fokus; Ansätze übertragbar auf Deutschland</w:t>
      </w:r>
    </w:p>
    <w:p>
      <w:r>
        <w:rPr>
          <w:color w:val="5A7D3A"/>
          <w:sz w:val="18"/>
        </w:rPr>
        <w:t>https://pubmed.ncbi.nlm.nih.gov/42861431/</w:t>
      </w:r>
    </w:p>
    <w:p>
      <w:pPr>
        <w:pStyle w:val="Heading2"/>
      </w:pPr>
      <w:r>
        <w:t>Kaiserschnittinfektionen in Afrika: durchschnittlich 10% mit konsistenten Risikofaktoren</w:t>
      </w:r>
    </w:p>
    <w:p>
      <w:r>
        <w:rPr>
          <w:i/>
          <w:color w:val="666666"/>
          <w:sz w:val="18"/>
        </w:rPr>
        <w:t>Addis M et al.  ·  Womens Health (Lond)  ·  11.10.2026  ·  PMID 42859868</w:t>
      </w:r>
    </w:p>
    <w:p>
      <w:r>
        <w:t>Umbrella Review von 7 systematischen Übersichten mit 71 Primärstudien zu Operationswundinfektionen nach Kaiserschnitt in Afrika (n=61.485).</w:t>
      </w:r>
    </w:p>
    <w:p>
      <w:r>
        <w:rPr>
          <w:b/>
        </w:rPr>
        <w:t xml:space="preserve">Ergebnis: </w:t>
      </w:r>
      <w:r>
        <w:t>Pooled Prävalenz durchgehend um 10%. Konsistente Risikofaktoren: Anämie, Chorioamnionitis, verlängerte Geburt, Blasensprung &gt;18h, vertikale Hautinzision, Allgemeinanästhesie. Fünf Reviews hohe Qualität, zwei mittlere; starke Heterogenität und Methodenlimitationen erkannt.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Subsahara-Afrika, LMIC-Setting; Konzepte übertragbar, Epidemiologie unterschiedlich von Deutschland</w:t>
      </w:r>
    </w:p>
    <w:p>
      <w:r>
        <w:rPr>
          <w:color w:val="5A7D3A"/>
          <w:sz w:val="18"/>
        </w:rPr>
        <w:t>https://pubmed.ncbi.nlm.nih.gov/42859868/</w:t>
      </w:r>
    </w:p>
    <w:p>
      <w:pPr>
        <w:pStyle w:val="Heading2"/>
      </w:pPr>
      <w:r>
        <w:t>COVID-19 verstärkte Antibiotikaübergebrauch trotz niedriger Koinfektion – Stewardship-Lücke</w:t>
      </w:r>
    </w:p>
    <w:p>
      <w:r>
        <w:rPr>
          <w:i/>
          <w:color w:val="666666"/>
          <w:sz w:val="18"/>
        </w:rPr>
        <w:t>Špelić M et al.  ·  Arh Hig Rada Toksikol  ·  01.09.2026  ·  PMID 42859407</w:t>
      </w:r>
    </w:p>
    <w:p>
      <w:r>
        <w:t>Narrative Übersicht des Verhältnisses zwischen COVID-19, Antibiotikaverbrauch und Resistenzentwicklung mit Fokus auf Stewardship-Interventionen.</w:t>
      </w:r>
    </w:p>
    <w:p>
      <w:r>
        <w:rPr>
          <w:b/>
        </w:rPr>
        <w:t xml:space="preserve">Ergebnis: </w:t>
      </w:r>
      <w:r>
        <w:t>Trotz niedriger bestätigter Koinfektion (unter 50%) blieb Antibiotikaverbrauch unangemessen hoch, besonders früh in Pandemie. Multidisziplinäres Antimicrobial Stewardship, schnelle Diagnostik und Impfung identifiziert als komplementäre Strategien zur Reduktion unnötiger Exposition; One-Health-Ansatz unterstrichen.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europäischer Kontext; Pandemie-Stewardship-Befunde europäisch übertragbar</w:t>
      </w:r>
    </w:p>
    <w:p>
      <w:r>
        <w:rPr>
          <w:color w:val="5A7D3A"/>
          <w:sz w:val="18"/>
        </w:rPr>
        <w:t>https://pubmed.ncbi.nlm.nih.gov/42859407/</w:t>
      </w:r>
    </w:p>
    <w:p>
      <w:pPr>
        <w:pStyle w:val="Heading2"/>
      </w:pPr>
      <w:r>
        <w:t>5-Faktor-Modell für Staphylococcus-aureus-Sepsis-Mortalität: AUC 0,816</w:t>
      </w:r>
    </w:p>
    <w:p>
      <w:r>
        <w:rPr>
          <w:i/>
          <w:color w:val="666666"/>
          <w:sz w:val="18"/>
        </w:rPr>
        <w:t>Yu Z et al.  ·  Medicine (Baltimore)  ·  09.10.2026  ·  PMID 42854039</w:t>
      </w:r>
    </w:p>
    <w:p>
      <w:r>
        <w:t>Retrospektive Kohortenstudie von 2.221 ICU-Patienten mit bestätigter Bacteriämie zur Identifikation von Faktoren für S.-aureus-BSI und Mortalitätsprognose (MIMIC-IV-Daten).</w:t>
      </w:r>
    </w:p>
    <w:p>
      <w:r>
        <w:rPr>
          <w:b/>
        </w:rPr>
        <w:t xml:space="preserve">Ergebnis: </w:t>
      </w:r>
      <w:r>
        <w:t>297 S.-aureus-BSI (13,4%); nach Matching 26,9% versus 24,2% 28-Tages-Mortalität (kein signifikanter Unterschied). Prognostisches Modell mit 5 Faktoren (Alter, RDW-max, WBC-min, aPTT-min, Albumin-max): AUC 0,816 (95%-KI 0,757–0,870), optimism-corrected 0,804 (0,752–0,861); externe Validierung AUC 0,778 (0,591–0,929).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USA-ICU-Daten; nur Prognose-Befund ohne Interventionsbezug, begrenzt übertragbar</w:t>
      </w:r>
    </w:p>
    <w:p>
      <w:r>
        <w:rPr>
          <w:color w:val="5A7D3A"/>
          <w:sz w:val="18"/>
        </w:rPr>
        <w:t>https://pubmed.ncbi.nlm.nih.gov/42854039/</w:t>
      </w:r>
    </w:p>
    <w:p>
      <w:pPr>
        <w:pStyle w:val="Heading2"/>
      </w:pPr>
      <w:r>
        <w:t>Zahnwurzel-Desinfektionserfolg hängt von Position ab: apikal/medial 69% Restbakterien</w:t>
      </w:r>
    </w:p>
    <w:p>
      <w:r>
        <w:rPr>
          <w:i/>
          <w:color w:val="666666"/>
          <w:sz w:val="18"/>
        </w:rPr>
        <w:t>Böcher S et al.  ·  Clin Oral Investig  ·  26.08.2026  ·  PMID 42645627</w:t>
      </w:r>
    </w:p>
    <w:p>
      <w:r>
        <w:t>Experimentelle Studie mit 30 menschlichen Zähnen (E.-faecalis-Infektion) zur Bewertung von Desinfektionseffektivität nach Position mittels konfokaler Lasermikroskopie mit LIVE/DEAD-Färbung.</w:t>
      </w:r>
    </w:p>
    <w:p>
      <w:r>
        <w:rPr>
          <w:b/>
        </w:rPr>
        <w:t xml:space="preserve">Ergebnis: </w:t>
      </w:r>
      <w:r>
        <w:t>Wurzelkanalposition war signifikanter Faktor für Bakterienkolonisation und Eradikation (p&lt;0,05), nicht Behandlung oder Sklerosierungsgrad. Restbakterien in bewässerter Zone wahrscheinlicher medial/apikal (OR 2,67–2,74) als koronal: 45,5% koronal, 69,0% medial, 69,6% apikal. Weder Behandlung noch Sonic-Aktivierung signifikant.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(RWTH Aachen), vergleichbare Laborbedingungen; Befund jedoch in vitro ohne Patientenrelevanz</w:t>
      </w:r>
    </w:p>
    <w:p>
      <w:r>
        <w:rPr>
          <w:color w:val="5A7D3A"/>
          <w:sz w:val="18"/>
        </w:rPr>
        <w:t>https://pubmed.ncbi.nlm.nih.gov/42645627/</w:t>
      </w:r>
    </w:p>
    <w:p>
      <w:pPr>
        <w:pStyle w:val="Heading2"/>
      </w:pPr>
      <w:r>
        <w:t>Straßenverkehrssicherheit: Systemansatz stärker als Personenfokus, aber lokale Hemmnisse</w:t>
      </w:r>
    </w:p>
    <w:p>
      <w:r>
        <w:rPr>
          <w:i/>
          <w:color w:val="666666"/>
          <w:sz w:val="18"/>
        </w:rPr>
        <w:t>Staton M et al.  ·  Accid Anal Prev  ·  13.08.2026  ·  PMID 42594689</w:t>
      </w:r>
    </w:p>
    <w:p>
      <w:r>
        <w:t>Qualitative Studie mit 21 Interviews zu Entscheidungsfindung und Beziehungen zwischen Akteuren der Straßenverkehrssicherheit auf kommunaler Ebene (UK).</w:t>
      </w:r>
    </w:p>
    <w:p>
      <w:r>
        <w:rPr>
          <w:b/>
        </w:rPr>
        <w:t xml:space="preserve">Ergebnis: </w:t>
      </w:r>
      <w:r>
        <w:t>Dominanter Ansatz weiterhin personenbasiert statt systemisch; Verantwortungsverlagerung auf lokale Ebene könnte dies verstärken. Schlüsselfaktoren: formale Partnerschaften, Cross-Department-Arbeit, finanzielle Hebel. Vision Zero/Safe-System-Ansatz identifiziert als Facilitation für Systemshift; Siloarbeit, Öffentlichkeit, Lobbying als Barrieren.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qualitative Governance-Studie; transferierbare Befunde zu Entscheidungsmechanismen</w:t>
      </w:r>
    </w:p>
    <w:p>
      <w:r>
        <w:rPr>
          <w:color w:val="5A7D3A"/>
          <w:sz w:val="18"/>
        </w:rPr>
        <w:t>https://pubmed.ncbi.nlm.nih.gov/42594689/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Patientensicherheit</dc:title>
  <dc:subject/>
  <dc:creator>Monitor Versorgungsforschung</dc:creator>
  <cp:keywords/>
  <dc:description>generated by python-docx</dc:description>
  <cp:lastModifiedBy/>
  <cp:revision>1</cp:revision>
  <dcterms:created xsi:type="dcterms:W3CDTF">2026-10-13T06:00:00Z</dcterms:created>
  <dcterms:modified xsi:type="dcterms:W3CDTF">2026-10-13T06:00:00Z</dcterms:modified>
  <cp:category/>
</cp:coreProperties>
</file>