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Patientensicherheit</w:t>
      </w:r>
    </w:p>
    <w:p>
      <w:r>
        <w:rPr>
          <w:i/>
          <w:color w:val="666666"/>
          <w:sz w:val="18"/>
        </w:rPr>
        <w:t>Stand: 13.10.2026  |  300 Studien  |  safety.m-vf.de</w:t>
      </w:r>
    </w:p>
    <w:p>
      <w:pPr>
        <w:pStyle w:val="Heading1"/>
      </w:pPr>
      <w:r>
        <w:t>Aufgenommen am 13.10.2026</w:t>
      </w:r>
    </w:p>
    <w:p>
      <w:pPr>
        <w:pStyle w:val="Heading2"/>
      </w:pPr>
      <w:r>
        <w:t>Elternbeteiligung in Kindersicherheitsinterventionen: systematische Übersicht von 111 Studien</w:t>
      </w:r>
    </w:p>
    <w:p>
      <w:r>
        <w:rPr>
          <w:i/>
          <w:color w:val="666666"/>
          <w:sz w:val="18"/>
        </w:rPr>
        <w:t>Purchase T et al.  ·  Health Expect  ·  Okt. 2026  ·  PMID 42861431</w:t>
      </w:r>
    </w:p>
    <w:p>
      <w:r>
        <w:t>Systematische Übersicht von 111 Studien zur Einbeziehung von Eltern in Sicherheitsinterventionen bei Kindern (Medikation, Kommunikation, Diagnose).</w:t>
      </w:r>
    </w:p>
    <w:p>
      <w:r>
        <w:rPr>
          <w:b/>
        </w:rPr>
        <w:t xml:space="preserve">Ergebnis: </w:t>
      </w:r>
      <w:r>
        <w:t>Interventionen adressierten primär direkte Patientenpflege (97,3%) durch Konsultationen (70,3%), erreichten aber bei Elternbeteiligung im Design und in Forschung nur Informationsstufe (59,5%). 65% der Studien in Sekundärversorgung, 39% experimentelles Design, 50% Fokus auf Medikationssicherheit. Elternengagement blieb inkonsistent und oft unverbindlich ohne Messung echter Sicherheitsergebnisse.</w:t>
      </w:r>
    </w:p>
    <w:p>
      <w:r>
        <w:rPr>
          <w:b/>
          <w:sz w:val="19"/>
        </w:rPr>
        <w:t xml:space="preserve">Übertragbarkeit: </w:t>
      </w:r>
      <w:r>
        <w:rPr>
          <w:sz w:val="19"/>
        </w:rPr>
        <w:t>Großbritannien, vergleichbare Gesundheitssysteme im Fokus; Ansätze übertragbar auf Deutschland</w:t>
      </w:r>
    </w:p>
    <w:p>
      <w:r>
        <w:rPr>
          <w:color w:val="5A7D3A"/>
          <w:sz w:val="18"/>
        </w:rPr>
        <w:t>https://pubmed.ncbi.nlm.nih.gov/42861431/</w:t>
      </w:r>
    </w:p>
    <w:p>
      <w:pPr>
        <w:pStyle w:val="Heading2"/>
      </w:pPr>
      <w:r>
        <w:t>Kaiserschnittinfektionen in Afrika: durchschnittlich 10% mit konsistenten Risikofaktoren</w:t>
      </w:r>
    </w:p>
    <w:p>
      <w:r>
        <w:rPr>
          <w:i/>
          <w:color w:val="666666"/>
          <w:sz w:val="18"/>
        </w:rPr>
        <w:t>Addis M et al.  ·  Womens Health (Lond)  ·  11.10.2026  ·  PMID 42859868</w:t>
      </w:r>
    </w:p>
    <w:p>
      <w:r>
        <w:t>Umbrella Review von 7 systematischen Übersichten mit 71 Primärstudien zu Operationswundinfektionen nach Kaiserschnitt in Afrika (n=61.485).</w:t>
      </w:r>
    </w:p>
    <w:p>
      <w:r>
        <w:rPr>
          <w:b/>
        </w:rPr>
        <w:t xml:space="preserve">Ergebnis: </w:t>
      </w:r>
      <w:r>
        <w:t>Pooled Prävalenz durchgehend um 10%. Konsistente Risikofaktoren: Anämie, Chorioamnionitis, verlängerte Geburt, Blasensprung &gt;18h, vertikale Hautinzision, Allgemeinanästhesie. Fünf Reviews hohe Qualität, zwei mittlere; starke Heterogenität und Methodenlimitationen erkannt.</w:t>
      </w:r>
    </w:p>
    <w:p>
      <w:r>
        <w:rPr>
          <w:b/>
          <w:sz w:val="19"/>
        </w:rPr>
        <w:t xml:space="preserve">Übertragbarkeit: </w:t>
      </w:r>
      <w:r>
        <w:rPr>
          <w:sz w:val="19"/>
        </w:rPr>
        <w:t>Subsahara-Afrika, LMIC-Setting; Konzepte übertragbar, Epidemiologie unterschiedlich von Deutschland</w:t>
      </w:r>
    </w:p>
    <w:p>
      <w:r>
        <w:rPr>
          <w:color w:val="5A7D3A"/>
          <w:sz w:val="18"/>
        </w:rPr>
        <w:t>https://pubmed.ncbi.nlm.nih.gov/42859868/</w:t>
      </w:r>
    </w:p>
    <w:p>
      <w:pPr>
        <w:pStyle w:val="Heading2"/>
      </w:pPr>
      <w:r>
        <w:t>COVID-19 verstärkte Antibiotikaübergebrauch trotz niedriger Koinfektion – Stewardship-Lücke</w:t>
      </w:r>
    </w:p>
    <w:p>
      <w:r>
        <w:rPr>
          <w:i/>
          <w:color w:val="666666"/>
          <w:sz w:val="18"/>
        </w:rPr>
        <w:t>Špelić M et al.  ·  Arh Hig Rada Toksikol  ·  01.09.2026  ·  PMID 42859407</w:t>
      </w:r>
    </w:p>
    <w:p>
      <w:r>
        <w:t>Narrative Übersicht des Verhältnisses zwischen COVID-19, Antibiotikaverbrauch und Resistenzentwicklung mit Fokus auf Stewardship-Interventionen.</w:t>
      </w:r>
    </w:p>
    <w:p>
      <w:r>
        <w:rPr>
          <w:b/>
        </w:rPr>
        <w:t xml:space="preserve">Ergebnis: </w:t>
      </w:r>
      <w:r>
        <w:t>Trotz niedriger bestätigter Koinfektion (unter 50%) blieb Antibiotikaverbrauch unangemessen hoch, besonders früh in Pandemie. Multidisziplinäres Antimicrobial Stewardship, schnelle Diagnostik und Impfung identifiziert als komplementäre Strategien zur Reduktion unnötiger Exposition; One-Health-Ansatz unterstrichen.</w:t>
      </w:r>
    </w:p>
    <w:p>
      <w:r>
        <w:rPr>
          <w:b/>
          <w:sz w:val="19"/>
        </w:rPr>
        <w:t xml:space="preserve">Übertragbarkeit: </w:t>
      </w:r>
      <w:r>
        <w:rPr>
          <w:sz w:val="19"/>
        </w:rPr>
        <w:t>Kroatien, europäischer Kontext; Pandemie-Stewardship-Befunde europäisch übertragbar</w:t>
      </w:r>
    </w:p>
    <w:p>
      <w:r>
        <w:rPr>
          <w:color w:val="5A7D3A"/>
          <w:sz w:val="18"/>
        </w:rPr>
        <w:t>https://pubmed.ncbi.nlm.nih.gov/42859407/</w:t>
      </w:r>
    </w:p>
    <w:p>
      <w:pPr>
        <w:pStyle w:val="Heading2"/>
      </w:pPr>
      <w:r>
        <w:t>5-Faktor-Modell für Staphylococcus-aureus-Sepsis-Mortalität: AUC 0,816</w:t>
      </w:r>
    </w:p>
    <w:p>
      <w:r>
        <w:rPr>
          <w:i/>
          <w:color w:val="666666"/>
          <w:sz w:val="18"/>
        </w:rPr>
        <w:t>Yu Z et al.  ·  Medicine (Baltimore)  ·  09.10.2026  ·  PMID 42854039</w:t>
      </w:r>
    </w:p>
    <w:p>
      <w:r>
        <w:t>Retrospektive Kohortenstudie von 2.221 ICU-Patienten mit bestätigter Bacteriämie zur Identifikation von Faktoren für S.-aureus-BSI und Mortalitätsprognose (MIMIC-IV-Daten).</w:t>
      </w:r>
    </w:p>
    <w:p>
      <w:r>
        <w:rPr>
          <w:b/>
        </w:rPr>
        <w:t xml:space="preserve">Ergebnis: </w:t>
      </w:r>
      <w:r>
        <w:t>297 S.-aureus-BSI (13,4%); nach Matching 26,9% versus 24,2% 28-Tages-Mortalität (kein signifikanter Unterschied). Prognostisches Modell mit 5 Faktoren (Alter, RDW-max, WBC-min, aPTT-min, Albumin-max): AUC 0,816 (95%-KI 0,757–0,870), optimism-corrected 0,804 (0,752–0,861); externe Validierung AUC 0,778 (0,591–0,929).</w:t>
      </w:r>
    </w:p>
    <w:p>
      <w:r>
        <w:rPr>
          <w:b/>
          <w:sz w:val="19"/>
        </w:rPr>
        <w:t xml:space="preserve">Übertragbarkeit: </w:t>
      </w:r>
      <w:r>
        <w:rPr>
          <w:sz w:val="19"/>
        </w:rPr>
        <w:t>USA-ICU-Daten; nur Prognose-Befund ohne Interventionsbezug, begrenzt übertragbar</w:t>
      </w:r>
    </w:p>
    <w:p>
      <w:r>
        <w:rPr>
          <w:color w:val="5A7D3A"/>
          <w:sz w:val="18"/>
        </w:rPr>
        <w:t>https://pubmed.ncbi.nlm.nih.gov/42854039/</w:t>
      </w:r>
    </w:p>
    <w:p>
      <w:pPr>
        <w:pStyle w:val="Heading2"/>
      </w:pPr>
      <w:r>
        <w:t>Zahnwurzel-Desinfektionserfolg hängt von Position ab: apikal/medial 69% Restbakterien</w:t>
      </w:r>
    </w:p>
    <w:p>
      <w:r>
        <w:rPr>
          <w:i/>
          <w:color w:val="666666"/>
          <w:sz w:val="18"/>
        </w:rPr>
        <w:t>Böcher S et al.  ·  Clin Oral Investig  ·  26.08.2026  ·  PMID 42645627</w:t>
      </w:r>
    </w:p>
    <w:p>
      <w:r>
        <w:t>Experimentelle Studie mit 30 menschlichen Zähnen (E.-faecalis-Infektion) zur Bewertung von Desinfektionseffektivität nach Position mittels konfokaler Lasermikroskopie mit LIVE/DEAD-Färbung.</w:t>
      </w:r>
    </w:p>
    <w:p>
      <w:r>
        <w:rPr>
          <w:b/>
        </w:rPr>
        <w:t xml:space="preserve">Ergebnis: </w:t>
      </w:r>
      <w:r>
        <w:t>Wurzelkanalposition war signifikanter Faktor für Bakterienkolonisation und Eradikation (p&lt;0,05), nicht Behandlung oder Sklerosierungsgrad. Restbakterien in bewässerter Zone wahrscheinlicher medial/apikal (OR 2,67–2,74) als koronal: 45,5% koronal, 69,0% medial, 69,6% apikal. Weder Behandlung noch Sonic-Aktivierung signifikant.</w:t>
      </w:r>
    </w:p>
    <w:p>
      <w:r>
        <w:rPr>
          <w:b/>
          <w:sz w:val="19"/>
        </w:rPr>
        <w:t xml:space="preserve">Übertragbarkeit: </w:t>
      </w:r>
      <w:r>
        <w:rPr>
          <w:sz w:val="19"/>
        </w:rPr>
        <w:t>Deutschland (RWTH Aachen), vergleichbare Laborbedingungen; Befund jedoch in vitro ohne Patientenrelevanz</w:t>
      </w:r>
    </w:p>
    <w:p>
      <w:r>
        <w:rPr>
          <w:color w:val="5A7D3A"/>
          <w:sz w:val="18"/>
        </w:rPr>
        <w:t>https://pubmed.ncbi.nlm.nih.gov/42645627/</w:t>
      </w:r>
    </w:p>
    <w:p>
      <w:pPr>
        <w:pStyle w:val="Heading2"/>
      </w:pPr>
      <w:r>
        <w:t>Straßenverkehrssicherheit: Systemansatz stärker als Personenfokus, aber lokale Hemmnisse</w:t>
      </w:r>
    </w:p>
    <w:p>
      <w:r>
        <w:rPr>
          <w:i/>
          <w:color w:val="666666"/>
          <w:sz w:val="18"/>
        </w:rPr>
        <w:t>Staton M et al.  ·  Accid Anal Prev  ·  13.08.2026  ·  PMID 42594689</w:t>
      </w:r>
    </w:p>
    <w:p>
      <w:r>
        <w:t>Qualitative Studie mit 21 Interviews zu Entscheidungsfindung und Beziehungen zwischen Akteuren der Straßenverkehrssicherheit auf kommunaler Ebene (UK).</w:t>
      </w:r>
    </w:p>
    <w:p>
      <w:r>
        <w:rPr>
          <w:b/>
        </w:rPr>
        <w:t xml:space="preserve">Ergebnis: </w:t>
      </w:r>
      <w:r>
        <w:t>Dominanter Ansatz weiterhin personenbasiert statt systemisch; Verantwortungsverlagerung auf lokale Ebene könnte dies verstärken. Schlüsselfaktoren: formale Partnerschaften, Cross-Department-Arbeit, finanzielle Hebel. Vision Zero/Safe-System-Ansatz identifiziert als Facilitation für Systemshift; Siloarbeit, Öffentlichkeit, Lobbying als Barrieren.</w:t>
      </w:r>
    </w:p>
    <w:p>
      <w:r>
        <w:rPr>
          <w:b/>
          <w:sz w:val="19"/>
        </w:rPr>
        <w:t xml:space="preserve">Übertragbarkeit: </w:t>
      </w:r>
      <w:r>
        <w:rPr>
          <w:sz w:val="19"/>
        </w:rPr>
        <w:t>Großbritannien, qualitative Governance-Studie; transferierbare Befunde zu Entscheidungsmechanismen</w:t>
      </w:r>
    </w:p>
    <w:p>
      <w:r>
        <w:rPr>
          <w:color w:val="5A7D3A"/>
          <w:sz w:val="18"/>
        </w:rPr>
        <w:t>https://pubmed.ncbi.nlm.nih.gov/42594689/</w:t>
      </w:r>
    </w:p>
    <w:p>
      <w:pPr>
        <w:pStyle w:val="Heading1"/>
      </w:pPr>
      <w:r>
        <w:t>Aufgenommen am 12.10.2026</w:t>
      </w:r>
    </w:p>
    <w:p>
      <w:pPr>
        <w:pStyle w:val="Heading2"/>
      </w:pPr>
      <w:r>
        <w:t>Nanopartikel-Beschichtung senkte Umgebungskeime auf Intensivstationen um 26,5 %</w:t>
      </w:r>
    </w:p>
    <w:p>
      <w:r>
        <w:rPr>
          <w:i/>
          <w:color w:val="666666"/>
          <w:sz w:val="18"/>
        </w:rPr>
        <w:t>Varma S et al.  ·  J Infect Dev Ctries  ·  30.09.2026  ·  PMID 42858349</w:t>
      </w:r>
    </w:p>
    <w:p>
      <w:r>
        <w:t>Studie an zwei Intensivstationen eines Trauma-Zentrums in Indien verglich die Wirkung einer Titandioxid-Nanopartikel-Beschichtung gegen Routinereinigung.</w:t>
      </w:r>
    </w:p>
    <w:p>
      <w:r>
        <w:rPr>
          <w:b/>
        </w:rPr>
        <w:t xml:space="preserve">Ergebnis: </w:t>
      </w:r>
      <w:r>
        <w:t>Auf der beschichteten Station sanken positive Umweltabstriche um 26,5 %, auf der Kontrollstation stiegen sie um 160,9 % (p = 0,000). Ventilator-assoziierte Pneumonie sank um 72,5 %; zentrale Kathetersepsis und Harnwegsinfektionen stiegen. Die Beschichtung könnte Standardmethoden supplementieren, weitere Studien zur Kosteneffektivität sind erforderlich.</w:t>
      </w:r>
    </w:p>
    <w:p>
      <w:r>
        <w:rPr>
          <w:b/>
          <w:sz w:val="19"/>
        </w:rPr>
        <w:t xml:space="preserve">Übertragbarkeit: </w:t>
      </w:r>
      <w:r>
        <w:rPr>
          <w:sz w:val="19"/>
        </w:rPr>
        <w:t>Indien, Trauma-Zentrum; Übertragbarkeit auf Deutschland begrenzt durch Ressourcenlage, aber Konzept einer zusätzlichen Desinfektionsmassnahme prüfenswert.</w:t>
      </w:r>
    </w:p>
    <w:p>
      <w:r>
        <w:rPr>
          <w:color w:val="5A7D3A"/>
          <w:sz w:val="18"/>
        </w:rPr>
        <w:t>https://pubmed.ncbi.nlm.nih.gov/42858349/</w:t>
      </w:r>
    </w:p>
    <w:p>
      <w:pPr>
        <w:pStyle w:val="Heading2"/>
      </w:pPr>
      <w:r>
        <w:t>Händehygiene-Compliance während COVID-19 stieg auf 33,1 %, fiel danach auf 14,7 %</w:t>
      </w:r>
    </w:p>
    <w:p>
      <w:r>
        <w:rPr>
          <w:i/>
          <w:color w:val="666666"/>
          <w:sz w:val="18"/>
        </w:rPr>
        <w:t>Mlouki I et al.  ·  J Infect Dev Ctries  ·  30.09.2026  ·  PMID 42858347</w:t>
      </w:r>
    </w:p>
    <w:p>
      <w:r>
        <w:t>Beobachtungsstudie an einem tunesischen Universitätsklinikum analysierte Trends in der Händehygiene-Compliance von 2020 bis 2023 unter Gesundheitspersonal.</w:t>
      </w:r>
    </w:p>
    <w:p>
      <w:r>
        <w:rPr>
          <w:b/>
        </w:rPr>
        <w:t xml:space="preserve">Ergebnis: </w:t>
      </w:r>
      <w:r>
        <w:t>Von 993 dokumentierten Handhygiene-Gelegenheiten: Gesamtcompliance 22,1 %, mit Gipfel 33,1 % im Jahr 2022 und Rückfall auf 14,7 % im Jahr 2023. Nach Patientenkontakt höher (28,4 % vs. 39 %, p = 0,08). Compliance in Hochrisiko-Abteilungen und bei invasiven Verfahren besser. Kontinuierliche Überwachung und institutionelle Unterstützung notwendig, um Rückfälle zu verhindern.</w:t>
      </w:r>
    </w:p>
    <w:p>
      <w:r>
        <w:rPr>
          <w:b/>
          <w:sz w:val="19"/>
        </w:rPr>
        <w:t xml:space="preserve">Übertragbarkeit: </w:t>
      </w:r>
      <w:r>
        <w:rPr>
          <w:sz w:val="19"/>
        </w:rPr>
        <w:t>Tunesien; ähnliche Herausforderungen bei Nachhaltigkeitsdefizit wie in Mitteleuropa, braucht aber Kontext lokaler Ressourcen.</w:t>
      </w:r>
    </w:p>
    <w:p>
      <w:r>
        <w:rPr>
          <w:color w:val="5A7D3A"/>
          <w:sz w:val="18"/>
        </w:rPr>
        <w:t>https://pubmed.ncbi.nlm.nih.gov/42858347/</w:t>
      </w:r>
    </w:p>
    <w:p>
      <w:pPr>
        <w:pStyle w:val="Heading2"/>
      </w:pPr>
      <w:r>
        <w:t>Breispektrum-Antibiotika verdreifachten sich bei CRE-Blutstrominfektionen während COVID-19</w:t>
      </w:r>
    </w:p>
    <w:p>
      <w:r>
        <w:rPr>
          <w:i/>
          <w:color w:val="666666"/>
          <w:sz w:val="18"/>
        </w:rPr>
        <w:t>Xu L et al.  ·  J Infect Dev Ctries  ·  30.09.2026  ·  PMID 42858345</w:t>
      </w:r>
    </w:p>
    <w:p>
      <w:r>
        <w:t>Retrospektive Kohortenstudie in China untersuchte die Auswirkung der COVID-19-Pandemie auf Häufigkeit carbapenem-resistenter Enterobacteriaceae-Blutstrominfektionen und Antibiotikaverbrauch.</w:t>
      </w:r>
    </w:p>
    <w:p>
      <w:r>
        <w:rPr>
          <w:b/>
        </w:rPr>
        <w:t xml:space="preserve">Ergebnis: </w:t>
      </w:r>
      <w:r>
        <w:t>184 CRE-BSI-Fälle über drei Zeiträume; CRE-BSI-Raten stabil (7,81 bis 9,63 pro 100.000 Hospitalisierungstage). Antibiotikaverbrauch stieg signifikant (p &lt; 0,001), Cephalosporine-Nutzung bei CRE-Patienten um 50 % erhöht. Carbapenem-Resistenzrate 18,6–19,0 % ohne signifikante Unterschiede. Breite Antibiotika-Eskalation war nicht gerechtfertigt und trägt zur Resistenzentwicklung bei.</w:t>
      </w:r>
    </w:p>
    <w:p>
      <w:r>
        <w:rPr>
          <w:b/>
          <w:sz w:val="19"/>
        </w:rPr>
        <w:t xml:space="preserve">Übertragbarkeit: </w:t>
      </w:r>
      <w:r>
        <w:rPr>
          <w:sz w:val="19"/>
        </w:rPr>
        <w:t>China, einzelnes Zentrum; zeigt Stewardship-Versäumnisse, die typisch für Pandemie-Krisen auch in Deutschland auftraten.</w:t>
      </w:r>
    </w:p>
    <w:p>
      <w:r>
        <w:rPr>
          <w:color w:val="5A7D3A"/>
          <w:sz w:val="18"/>
        </w:rPr>
        <w:t>https://pubmed.ncbi.nlm.nih.gov/42858345/</w:t>
      </w:r>
    </w:p>
    <w:p>
      <w:pPr>
        <w:pStyle w:val="Heading2"/>
      </w:pPr>
      <w:r>
        <w:t>Chinesischer Expertenkonsens: Risikomanagement im klinisch-pathologischen Labor – acht Schlüsselfragen beantwortet</w:t>
      </w:r>
    </w:p>
    <w:p>
      <w:r>
        <w:rPr>
          <w:i/>
          <w:color w:val="666666"/>
          <w:sz w:val="18"/>
        </w:rPr>
        <w:t>Quality and Competency Management Group, Professional Committee of Tumor Pathology, China Anti-Cancer Association  ·  Zhonghua Bing Li Xue Za Zhi  ·  08.10.2026  ·  PMID 42851194</w:t>
      </w:r>
    </w:p>
    <w:p>
      <w:r>
        <w:t>Strukturierter Konsens der Chinese Anti-Cancer Association zur systematischen Risikoidenti­fizierung, -bewertung und -kontrolle in klinisch-pathologischen Laboratorien, basierend auf ISO- und CNAS-Standards.</w:t>
      </w:r>
    </w:p>
    <w:p>
      <w:r>
        <w:rPr>
          <w:b/>
        </w:rPr>
        <w:t xml:space="preserve">Ergebnis: </w:t>
      </w:r>
      <w:r>
        <w:t>Der Konsens adressiert acht klinische Fragen; definiert Risiko-Dimensionen: technische Operationen, biologische Sicherheit, Datenmanagement, Qualitätskontrolle. Kernprinzipien: Patientensicherheit und Diagnosequalität als Leitziel, strukturierte Risikopfade (Identifikation, Bewertung, Kontrolle, kontinuierliche Verbesserung). Praktische Managementmassnahmen für Pathologie-Labore etabliert. Ziel: Anhebung des Risiko-Bewusstseins und Optimierung der Ressourcen-Allokation.</w:t>
      </w:r>
    </w:p>
    <w:p>
      <w:r>
        <w:rPr>
          <w:b/>
          <w:sz w:val="19"/>
        </w:rPr>
        <w:t xml:space="preserve">Übertragbarkeit: </w:t>
      </w:r>
      <w:r>
        <w:rPr>
          <w:sz w:val="19"/>
        </w:rPr>
        <w:t>China, aber ISO-Standards und CNAS-Kriterien international gültig; Konsens-Methodik übertragbar auf deutsche Laboratorien nach RiliBÄK.</w:t>
      </w:r>
    </w:p>
    <w:p>
      <w:r>
        <w:rPr>
          <w:color w:val="5A7D3A"/>
          <w:sz w:val="18"/>
        </w:rPr>
        <w:t>https://pubmed.ncbi.nlm.nih.gov/42851194/</w:t>
      </w:r>
    </w:p>
    <w:p>
      <w:pPr>
        <w:pStyle w:val="Heading2"/>
      </w:pPr>
      <w:r>
        <w:t>JAAM-DIC-Score: Sensitivität 81,5 % zur Vorhersage von 28-Tage-Mortalität bei Sepsis-Koagulopathie</w:t>
      </w:r>
    </w:p>
    <w:p>
      <w:r>
        <w:rPr>
          <w:i/>
          <w:color w:val="666666"/>
          <w:sz w:val="18"/>
        </w:rPr>
        <w:t>Hannan M et al.  ·  J Coll Physicians Surg Pak  ·  Okt. 2026  ·  PMID 42851092</w:t>
      </w:r>
    </w:p>
    <w:p>
      <w:r>
        <w:t>Prospektive analytische Studie mit 150 Sepsis-Patienten auf einer Intensivstation in Pakistan evaluierte die Vorhersagekraft des JAAM-DIC-Scores für 28-Tage-Mortalität.</w:t>
      </w:r>
    </w:p>
    <w:p>
      <w:r>
        <w:rPr>
          <w:b/>
        </w:rPr>
        <w:t xml:space="preserve">Ergebnis: </w:t>
      </w:r>
      <w:r>
        <w:t>72 Patienten (48,0 %) mit JAAM-DIC-Score ≥4. 28-Tage-Mortalität 43,3 % (65 Todesfälle). JAAM-DIC: Sensitivität 81,5 %, Spezifität 77,6 %, PPV 73,6 %, NPV 84,6 %, diagnostische Genauigkeit 79,3 %. Score war durchführbar zur Risiko­stratifizierung von hochriskanten septischen Patienten mit DIC.</w:t>
      </w:r>
    </w:p>
    <w:p>
      <w:r>
        <w:rPr>
          <w:b/>
          <w:sz w:val="19"/>
        </w:rPr>
        <w:t xml:space="preserve">Übertragbarkeit: </w:t>
      </w:r>
      <w:r>
        <w:rPr>
          <w:sz w:val="19"/>
        </w:rPr>
        <w:t>Pakistan, Intensivmedizin; Score-Validierung international, deutsches Sepsis-Management würde ähnlich profitieren.</w:t>
      </w:r>
    </w:p>
    <w:p>
      <w:r>
        <w:rPr>
          <w:color w:val="5A7D3A"/>
          <w:sz w:val="18"/>
        </w:rPr>
        <w:t>https://pubmed.ncbi.nlm.nih.gov/42851092/</w:t>
      </w:r>
    </w:p>
    <w:p>
      <w:pPr>
        <w:pStyle w:val="Heading2"/>
      </w:pPr>
      <w:r>
        <w:t>SOFA-Score vorhersagekräftiger als Biomarker für Sepsis-Mortalität auf ländlicher Intensivstation</w:t>
      </w:r>
    </w:p>
    <w:p>
      <w:r>
        <w:rPr>
          <w:i/>
          <w:color w:val="666666"/>
          <w:sz w:val="18"/>
        </w:rPr>
        <w:t>Reddy H et al.  ·  Clin Lab  ·  01.10.2026  ·  PMID 42847956</w:t>
      </w:r>
    </w:p>
    <w:p>
      <w:r>
        <w:t>Querschnittsstudie mit 300 Patienten auf einer ländlichen Intensivstation in Indien verglich kritische Scores und Biomarker zur Prognose von Sepsis-Mortalität und Beatmungsbedarf.</w:t>
      </w:r>
    </w:p>
    <w:p>
      <w:r>
        <w:rPr>
          <w:b/>
        </w:rPr>
        <w:t xml:space="preserve">Ergebnis: </w:t>
      </w:r>
      <w:r>
        <w:t>SOFA mit Cutoff ≥9 beste Vorhersage (OR: 2,98, p &lt; 0,001, Sensitivität 94 %, Spezifität 86 %). APACHE IV (Cutoff &gt;71, AUC 0,840) und NLPR (Cutoff &gt;3,1, AUC 0,716) signifikant. PaO₂/FiO₂ negativ korreliert mit Mortalität (OR 0,022, p &lt; 0,001) und Beatmungsbedarf. 70 Todesfälle in der Kohorte. In ressourcenlimitierten Umgebungen ist NLPR pragmatische Alternative.</w:t>
      </w:r>
    </w:p>
    <w:p>
      <w:r>
        <w:rPr>
          <w:b/>
          <w:sz w:val="19"/>
        </w:rPr>
        <w:t xml:space="preserve">Übertragbarkeit: </w:t>
      </w:r>
      <w:r>
        <w:rPr>
          <w:sz w:val="19"/>
        </w:rPr>
        <w:t>Indien, ländliches Setting; SOFA-Überlegenheit aber auch in deutschen Zentren mit besseren Ressourcen etabliert.</w:t>
      </w:r>
    </w:p>
    <w:p>
      <w:r>
        <w:rPr>
          <w:color w:val="5A7D3A"/>
          <w:sz w:val="18"/>
        </w:rPr>
        <w:t>https://pubmed.ncbi.nlm.nih.gov/42847956/</w:t>
      </w:r>
    </w:p>
    <w:p>
      <w:pPr>
        <w:pStyle w:val="Heading2"/>
      </w:pPr>
      <w:r>
        <w:t>Pichia-kudriavzevii-Ausbruch über sechs Krankenhäuser hinweg, ein Stamm seit 1935 nachweisbar</w:t>
      </w:r>
    </w:p>
    <w:p>
      <w:r>
        <w:rPr>
          <w:i/>
          <w:color w:val="666666"/>
          <w:sz w:val="18"/>
        </w:rPr>
        <w:t>Spruijtenburg B et al.  ·  Med Mycol  ·  05.08.2026  ·  PMID 42560405</w:t>
      </w:r>
    </w:p>
    <w:p>
      <w:r>
        <w:t>Molekularepidemiologische Studie mit Kurzsequenz-Wiederholungs-Genotypisierung von 106 Pichia-kudriavzevii-Isolaten aus Indien zeigte nosokomialen Transmissionsmustern und einen global verbreiteten Stamm.</w:t>
      </w:r>
    </w:p>
    <w:p>
      <w:r>
        <w:rPr>
          <w:b/>
        </w:rPr>
        <w:t xml:space="preserve">Ergebnis: </w:t>
      </w:r>
      <w:r>
        <w:t>52 unterschiedliche Genotypen plus fünf Cluster (zwei bis 22 Isolate). Ein Multizentrums-Cluster umfasste sechs Krankenhäuser; derselbe Stamm identisch mit iranischen Isolaten und verwandt mit niederländischen und sri-lankischen Isolaten (letzte seit 1935). Fluconazol-Resistenz intrinsisch. Befund deuten auf erhöhtes Transmissionspotenzial und Fitness-Vorteil eines Stamms hin.</w:t>
      </w:r>
    </w:p>
    <w:p>
      <w:r>
        <w:rPr>
          <w:b/>
          <w:sz w:val="19"/>
        </w:rPr>
        <w:t xml:space="preserve">Übertragbarkeit: </w:t>
      </w:r>
      <w:r>
        <w:rPr>
          <w:sz w:val="19"/>
        </w:rPr>
        <w:t>Indien; zeigt grenzüberschreitende nosokomiale Transmission, unterstreicht Surveillance-Notwendigkeit auch in Deutschland.</w:t>
      </w:r>
    </w:p>
    <w:p>
      <w:r>
        <w:rPr>
          <w:color w:val="5A7D3A"/>
          <w:sz w:val="18"/>
        </w:rPr>
        <w:t>https://pubmed.ncbi.nlm.nih.gov/42560405/</w:t>
      </w:r>
    </w:p>
    <w:p>
      <w:pPr>
        <w:pStyle w:val="Heading1"/>
      </w:pPr>
      <w:r>
        <w:t>Aufgenommen am 11.10.2026</w:t>
      </w:r>
    </w:p>
    <w:p>
      <w:pPr>
        <w:pStyle w:val="Heading2"/>
      </w:pPr>
      <w:r>
        <w:t>Deprescribing-Leitlinie für ältere Erwachsene reduziert potentiell unangemessene Medikamente</w:t>
      </w:r>
    </w:p>
    <w:p>
      <w:r>
        <w:rPr>
          <w:i/>
          <w:color w:val="666666"/>
          <w:sz w:val="18"/>
        </w:rPr>
        <w:t>Tian F et al.  ·  BMC Geriatr  ·  21.09.2026  ·  PMID 42855669</w:t>
      </w:r>
    </w:p>
    <w:p>
      <w:r>
        <w:t>Chinesische Fachgruppe entwickelte evidenzbasierte Richtlinie für De-Verschreibung potentiell unangemessener Medikamente (PIM) bei älteren Erwachsenen mit standardisiertem ORDER-Prozess (fünf Schritte) und Delphi-Konsens.</w:t>
      </w:r>
    </w:p>
    <w:p>
      <w:r>
        <w:rPr>
          <w:b/>
        </w:rPr>
        <w:t xml:space="preserve">Ergebnis: </w:t>
      </w:r>
      <w:r>
        <w:t>Neue Leitlinie ORDER (organize, medication review, develop plan, execute, realize feedback) als erstes standardisiertes Chinas-Protokoll für PIM-Management. Multidisziplinäres Modell mit Patientenbeteiligung; 15 Aspekte für deprescribing-Empfehlungen entwickelt. Konkrete Machbarkeit und Priorisierung von PIM empfohlen.</w:t>
      </w:r>
    </w:p>
    <w:p>
      <w:r>
        <w:rPr>
          <w:b/>
          <w:sz w:val="19"/>
        </w:rPr>
        <w:t xml:space="preserve">Übertragbarkeit: </w:t>
      </w:r>
      <w:r>
        <w:rPr>
          <w:sz w:val="19"/>
        </w:rPr>
        <w:t>China, aber Medication-Safety-Grundprinzipien international übertragbar, deutsche Geriatrie-Leitlinien ähnlich strukturiert</w:t>
      </w:r>
    </w:p>
    <w:p>
      <w:r>
        <w:rPr>
          <w:color w:val="5A7D3A"/>
          <w:sz w:val="18"/>
        </w:rPr>
        <w:t>https://pubmed.ncbi.nlm.nih.gov/42855669/</w:t>
      </w:r>
    </w:p>
    <w:p>
      <w:pPr>
        <w:pStyle w:val="Heading2"/>
      </w:pPr>
      <w:r>
        <w:t>Ethische Haltung von Notfallteams schwach assoziiert mit Bewusstsein für Kunstfehlerhaftung</w:t>
      </w:r>
    </w:p>
    <w:p>
      <w:r>
        <w:rPr>
          <w:i/>
          <w:color w:val="666666"/>
          <w:sz w:val="18"/>
        </w:rPr>
        <w:t>Degirmenci S et al.  ·  Medicine (Baltimore)  ·  09.10.2026  ·  PMID 42854010</w:t>
      </w:r>
    </w:p>
    <w:p>
      <w:r>
        <w:t>Türkische Querschnittsstudie an 397 Notfall-Fachpersonen entwickelte Skala für ethischen Zugang zu psychiatrischen Patienten in Notfallkontexten und prüfte Assoziation mit Bewusstsein für Kunstfehlerhaftungsrisiko.</w:t>
      </w:r>
    </w:p>
    <w:p>
      <w:r>
        <w:rPr>
          <w:b/>
        </w:rPr>
        <w:t xml:space="preserve">Ergebnis: </w:t>
      </w:r>
      <w:r>
        <w:t>Angepasste 16-Item-Skala für ethischen Zugang validiert. Kunstfehlerhaftungsrisiko-Bewusstsein unterschied sich signifikant nach Geschlecht, Beruf, Einkommen, Schulung und Kunstfehler-Erlebnis. Ethische Zugangsskala zeigte statistisch signifikante, aber schwache Assoziation (1,5% erklärte Varianz) mit Kunstfehler-Bewusstsein.</w:t>
      </w:r>
    </w:p>
    <w:p>
      <w:r>
        <w:rPr>
          <w:b/>
          <w:sz w:val="19"/>
        </w:rPr>
        <w:t xml:space="preserve">Übertragbarkeit: </w:t>
      </w:r>
      <w:r>
        <w:rPr>
          <w:sz w:val="19"/>
        </w:rPr>
        <w:t>Türkei, Notfall-Sicherheitskultur, aber Ethik-Kunstfehler-Nexus international relevant</w:t>
      </w:r>
    </w:p>
    <w:p>
      <w:r>
        <w:rPr>
          <w:color w:val="5A7D3A"/>
          <w:sz w:val="18"/>
        </w:rPr>
        <w:t>https://pubmed.ncbi.nlm.nih.gov/42854010/</w:t>
      </w:r>
    </w:p>
    <w:p>
      <w:pPr>
        <w:pStyle w:val="Heading2"/>
      </w:pPr>
      <w:r>
        <w:t>Laborbasiertes Prognose-Nomogramm stratifiziert Sepsis-Patienten früh nach Mortalitätsrisiko</w:t>
      </w:r>
    </w:p>
    <w:p>
      <w:r>
        <w:rPr>
          <w:i/>
          <w:color w:val="666666"/>
          <w:sz w:val="18"/>
        </w:rPr>
        <w:t>Shu M et al.  ·  Lab Med  ·  05.10.2026  ·  PMID 42853634</w:t>
      </w:r>
    </w:p>
    <w:p>
      <w:r>
        <w:t>Entwicklung und Validierung eines LASSO-basierten Nomogramms zur Früh-Risikostratifikation bei Sepsis mit Laborparametern (SOFA, GCS, Harnstoff, IL-6).</w:t>
      </w:r>
    </w:p>
    <w:p>
      <w:r>
        <w:rPr>
          <w:b/>
        </w:rPr>
        <w:t xml:space="preserve">Ergebnis: </w:t>
      </w:r>
      <w:r>
        <w:t>Concordance-Index 0,806 (Training) und 0,889 (Validierung); Sensitivität/Spezifität 85,0%/68,8% (Training) und 87,9%/86,7% (Validierung). SOFA-Score (OR 1,271), GCS (OR 0,807), Serumurea (OR 1,097), IL-6 (OR 1,001) als unabhängige Prognose-Faktoren. Kalibrierungskurven zeigen gute Übereinstimmung.</w:t>
      </w:r>
    </w:p>
    <w:p>
      <w:r>
        <w:rPr>
          <w:b/>
          <w:sz w:val="19"/>
        </w:rPr>
        <w:t xml:space="preserve">Übertragbarkeit: </w:t>
      </w:r>
      <w:r>
        <w:rPr>
          <w:sz w:val="19"/>
        </w:rPr>
        <w:t>China, aber Sepsis-Biomarker und Prognose-Validierungsprinzipien global anwendbar</w:t>
      </w:r>
    </w:p>
    <w:p>
      <w:r>
        <w:rPr>
          <w:color w:val="5A7D3A"/>
          <w:sz w:val="18"/>
        </w:rPr>
        <w:t>https://pubmed.ncbi.nlm.nih.gov/42853634/</w:t>
      </w:r>
    </w:p>
    <w:p>
      <w:pPr>
        <w:pStyle w:val="Heading2"/>
      </w:pPr>
      <w:r>
        <w:t>Sepsis-Coagulopathie: Trajektorien vorhersagen Mortalität und Heparineffekt</w:t>
      </w:r>
    </w:p>
    <w:p>
      <w:r>
        <w:rPr>
          <w:i/>
          <w:color w:val="666666"/>
          <w:sz w:val="18"/>
        </w:rPr>
        <w:t>Cao Y et al.  ·  Front Cell Infect Microbiol  ·  24.09.2026  ·  PMID 42851353</w:t>
      </w:r>
    </w:p>
    <w:p>
      <w:r>
        <w:t>Multizenterstudie an 20.168 ICU-Patienten mit Sepsis-induzierter Coagulopathie (SIC), die drei Verlaufsmuster identifizierte und deren Assoziation mit 28-Tage-Mortalität sowie Wirksamkeit prophylaktischer Heparingabe evaluierte.</w:t>
      </w:r>
    </w:p>
    <w:p>
      <w:r>
        <w:rPr>
          <w:b/>
        </w:rPr>
        <w:t xml:space="preserve">Ergebnis: </w:t>
      </w:r>
      <w:r>
        <w:t>Drei SIC-Trajektorien: persistierend erhöht (31,9%), ansteigend-dann-fallend (10,6%), resolvent (57,5%). Persistierend erhöhte Trajektorie zeigte adjustierte Subdistribution-Hazard-Ratio 1,65 (95%-KI 1,52–1,78) für Mortalität vs. resolvent. Prophylaktisches Heparin assoziiert mit reduzierter Post-Landmark-Mortalität in MIMIC-IV (sHR 0,908, p=0,018), nicht repliziert in eICU-CRD (p=0,118).</w:t>
      </w:r>
    </w:p>
    <w:p>
      <w:r>
        <w:rPr>
          <w:b/>
          <w:sz w:val="19"/>
        </w:rPr>
        <w:t xml:space="preserve">Übertragbarkeit: </w:t>
      </w:r>
      <w:r>
        <w:rPr>
          <w:sz w:val="19"/>
        </w:rPr>
        <w:t>Multinationale ICU-Daten, sepsis-relevantes Treatment-Outcome, Translatierbarkeit begrenzt durch unterschiedliche Erkrankungsschwere</w:t>
      </w:r>
    </w:p>
    <w:p>
      <w:r>
        <w:rPr>
          <w:color w:val="5A7D3A"/>
          <w:sz w:val="18"/>
        </w:rPr>
        <w:t>https://pubmed.ncbi.nlm.nih.gov/42851353/</w:t>
      </w:r>
    </w:p>
    <w:p>
      <w:pPr>
        <w:pStyle w:val="Heading2"/>
      </w:pPr>
      <w:r>
        <w:t>Persistenter Ausbruch von Carbapenem-resistentem Acinetobacter baumannii trotz Standard-Infektionsprävention</w:t>
      </w:r>
    </w:p>
    <w:p>
      <w:r>
        <w:rPr>
          <w:i/>
          <w:color w:val="666666"/>
          <w:sz w:val="18"/>
        </w:rPr>
        <w:t>Sourenian T et al.  ·  Front Cell Infect Microbiol  ·  24.09.2026  ·  PMID 42851326</w:t>
      </w:r>
    </w:p>
    <w:p>
      <w:r>
        <w:t>Outbreak-Untersuchung von 13 XDR-Acinetobacter-baumannii-Stämmen (ST2) in libanesischer ICU mit molekularer Genotypisierung, die zwei nosokomial übertragene Cluster und Übertragungs-Potenzial nachweisen.</w:t>
      </w:r>
    </w:p>
    <w:p>
      <w:r>
        <w:rPr>
          <w:b/>
        </w:rPr>
        <w:t xml:space="preserve">Ergebnis: </w:t>
      </w:r>
      <w:r>
        <w:t>Alle Isolate blaOXA-23 chromosomal; 52 Genotypen und fünf Cluster identifiziert (vier auf einzelne Kliniken begrenzt, ein Cluster über sechs Kliniken). Größter Cluster mit iranischen, niederländischen und Sri-Lanka-Isolaten verwandt. SNP-Analyse bestätigt hohe Diskriminationsfähigkeit. Fortgesetzte Zirkulation trotz konventioneller Infektionsprävention zeigt erhöhtes Transmissionspotenzial dieser Linie.</w:t>
      </w:r>
    </w:p>
    <w:p>
      <w:r>
        <w:rPr>
          <w:b/>
          <w:sz w:val="19"/>
        </w:rPr>
        <w:t xml:space="preserve">Übertragbarkeit: </w:t>
      </w:r>
      <w:r>
        <w:rPr>
          <w:sz w:val="19"/>
        </w:rPr>
        <w:t>Libanon, aber Carbapenem-Resistenz-Management und ICU-Hygiene-Struktur in Deutschland hochrelevant</w:t>
      </w:r>
    </w:p>
    <w:p>
      <w:r>
        <w:rPr>
          <w:color w:val="5A7D3A"/>
          <w:sz w:val="18"/>
        </w:rPr>
        <w:t>https://pubmed.ncbi.nlm.nih.gov/42851326/</w:t>
      </w:r>
    </w:p>
    <w:p>
      <w:pPr>
        <w:pStyle w:val="Heading2"/>
      </w:pPr>
      <w:r>
        <w:t>Umleitung von Nicht-Notfall-Patienten aus der Notaufnahme in Hausarztpraxen ist sicher</w:t>
      </w:r>
    </w:p>
    <w:p>
      <w:r>
        <w:rPr>
          <w:i/>
          <w:color w:val="666666"/>
          <w:sz w:val="18"/>
        </w:rPr>
        <w:t>Alsulami W et al.  ·  Emerg Med Australas  ·  Okt. 2026  ·  PMID 42851122</w:t>
      </w:r>
    </w:p>
    <w:p>
      <w:r>
        <w:t>Scoping Review von neun Studien zur Sicherheit und Verfahrenskomponenten beim Umleiten von Nicht-Notfall-Patienten von Notaufnahmen in die Primärversorgung.</w:t>
      </w:r>
    </w:p>
    <w:p>
      <w:r>
        <w:rPr>
          <w:b/>
        </w:rPr>
        <w:t xml:space="preserve">Ergebnis: </w:t>
      </w:r>
      <w:r>
        <w:t>9,7% Rückkehrquote, 1,7% Hospitalisierungsrate, 0,07% Mortalität. Studien mit null Hospitalisierungen und Todesfällen implementierten mehrere Komponenten (Dokumentation Beschwerde, Registrierung, Vitalzeichen, Triage). Umleitung erscheint sicher und akzeptabel bei klaren Kriterien, Evidenz aber begrenzt.</w:t>
      </w:r>
    </w:p>
    <w:p>
      <w:r>
        <w:rPr>
          <w:b/>
          <w:sz w:val="19"/>
        </w:rPr>
        <w:t xml:space="preserve">Übertragbarkeit: </w:t>
      </w:r>
      <w:r>
        <w:rPr>
          <w:sz w:val="19"/>
        </w:rPr>
        <w:t>Australien und Vereinigtes Königreich, vergleichbare ED-Versorgungsstruktur und Patientensicherheitsansätze</w:t>
      </w:r>
    </w:p>
    <w:p>
      <w:r>
        <w:rPr>
          <w:color w:val="5A7D3A"/>
          <w:sz w:val="18"/>
        </w:rPr>
        <w:t>https://pubmed.ncbi.nlm.nih.gov/42851122/</w:t>
      </w:r>
    </w:p>
    <w:p>
      <w:pPr>
        <w:pStyle w:val="Heading1"/>
      </w:pPr>
      <w:r>
        <w:t>Aufgenommen am 10.10.2026</w:t>
      </w:r>
    </w:p>
    <w:p>
      <w:pPr>
        <w:pStyle w:val="Heading2"/>
      </w:pPr>
      <w:r>
        <w:t>Digitale Bestellsysteme senken Dokumentationsfehler bei Notfall-zu-ITS-Übergängen um 46 %</w:t>
      </w:r>
    </w:p>
    <w:p>
      <w:r>
        <w:rPr>
          <w:i/>
          <w:color w:val="666666"/>
          <w:sz w:val="18"/>
        </w:rPr>
        <w:t>Chien DK et al.  ·  JMIR Form Res  ·  09.10.2026  ·  PMID 42854259</w:t>
      </w:r>
    </w:p>
    <w:p>
      <w:r>
        <w:t>Retrospektive vergleichende Evaluierung eines aktualisierten digitalen Bestellsystems für Notfall-zu-Intensivmedizin-Aufnahmen (2023 vs. 2024) an einem Tertium-Zentrum in Taiwan.</w:t>
      </w:r>
    </w:p>
    <w:p>
      <w:r>
        <w:rPr>
          <w:b/>
        </w:rPr>
        <w:t xml:space="preserve">Ergebnis: </w:t>
      </w:r>
      <w:r>
        <w:t>Aktualisiertes System assoziiert mit höherer Bestellgültigkeit (54,1 % → 75,4 %; RR 1,39, KI 1,25–1,54, p &lt; 0,001), niedrigerer Fehlerquote (45,9 % → 24,6 %; RR 0,54, KI 0,44–0,66, p &lt; 0,001); doppelte und verlorene Aufträge sanken; ITS-Reservierungsalignment verbessert sich (Verhältnis 0,68 → 0,78, p = 0,03). Strukturierte, zeitstempel-gesteuerte Infrastruktur unterstützt zuverlässigere Hochrisiko-Workflows.</w:t>
      </w:r>
    </w:p>
    <w:p>
      <w:r>
        <w:rPr>
          <w:b/>
          <w:sz w:val="19"/>
        </w:rPr>
        <w:t xml:space="preserve">Übertragbarkeit: </w:t>
      </w:r>
      <w:r>
        <w:rPr>
          <w:sz w:val="19"/>
        </w:rPr>
        <w:t>Taiwan - Elektronische Order-Standardisierung übertragbar auf deutsches Kliniksetting mit vergleichbaren Workflows</w:t>
      </w:r>
    </w:p>
    <w:p>
      <w:r>
        <w:rPr>
          <w:color w:val="5A7D3A"/>
          <w:sz w:val="18"/>
        </w:rPr>
        <w:t>https://pubmed.ncbi.nlm.nih.gov/42854259/</w:t>
      </w:r>
    </w:p>
    <w:p>
      <w:pPr>
        <w:pStyle w:val="Heading2"/>
      </w:pPr>
      <w:r>
        <w:t>Nosokomialer Ausbruch durch kontaminierte Infusionslösungen: 16 Fälle in sieben deutschen Kliniken</w:t>
      </w:r>
    </w:p>
    <w:p>
      <w:r>
        <w:rPr>
          <w:i/>
          <w:color w:val="666666"/>
          <w:sz w:val="18"/>
        </w:rPr>
        <w:t>Burdi S et al.  ·  Euro Surveill  ·  Okt. 2026  ·  PMID 42852523</w:t>
      </w:r>
    </w:p>
    <w:p>
      <w:r>
        <w:t>Untersuchung eines Ausbruchs von Ralstonia mannitolilytica-Bacteriämien in deutschen Krankenhäusern von März bis September 2026, der auf kontaminierte vorgefüllte Kochsalzspritzen zurückgeführt wurde.</w:t>
      </w:r>
    </w:p>
    <w:p>
      <w:r>
        <w:rPr>
          <w:b/>
        </w:rPr>
        <w:t xml:space="preserve">Ergebnis: </w:t>
      </w:r>
      <w:r>
        <w:t>16 Fälle mit ≤6 Allel-Unterschieden in sieben Kliniken identifiziert; Produktions- und Verteilungsfehler eines Herstellers als Quelle bestätigt; Quarantäne und Nutzungsstopp des Produkts eingeleitet. Die Rückverfolgung zeigt, dass solche nosokomialen Ausbrüche auch durch systematische Beschaffungsfehler entstehen.</w:t>
      </w:r>
    </w:p>
    <w:p>
      <w:r>
        <w:rPr>
          <w:b/>
          <w:sz w:val="19"/>
        </w:rPr>
        <w:t xml:space="preserve">Übertragbarkeit: </w:t>
      </w:r>
      <w:r>
        <w:rPr>
          <w:sz w:val="19"/>
        </w:rPr>
        <w:t>Deutsche Klinikdaten, vergleichbare Hygienestandards und Meldepflichten nach IfSG</w:t>
      </w:r>
    </w:p>
    <w:p>
      <w:r>
        <w:rPr>
          <w:color w:val="5A7D3A"/>
          <w:sz w:val="18"/>
        </w:rPr>
        <w:t>https://pubmed.ncbi.nlm.nih.gov/42852523/</w:t>
      </w:r>
    </w:p>
    <w:p>
      <w:pPr>
        <w:pStyle w:val="Heading2"/>
      </w:pPr>
      <w:r>
        <w:t>NHS-Qualitätsstrategie vernachlässigt grundlegende Patientensicherheitsmaßnahmen</w:t>
      </w:r>
    </w:p>
    <w:p>
      <w:r>
        <w:rPr>
          <w:i/>
          <w:color w:val="666666"/>
          <w:sz w:val="18"/>
        </w:rPr>
        <w:t>Tingle J  ·  Br J Nurs  ·  08.10.2026  ·  PMID 42848698</w:t>
      </w:r>
    </w:p>
    <w:p>
      <w:r>
        <w:t>Analyse durch akademischen Rechtsexperten der aktuellen NHS-Qualitätsstrategie bezüglich Patientensicherheitspriorisierung und regulatorischer Überwachung.</w:t>
      </w:r>
    </w:p>
    <w:p>
      <w:r>
        <w:rPr>
          <w:b/>
        </w:rPr>
        <w:t xml:space="preserve">Ergebnis: </w:t>
      </w:r>
      <w:r>
        <w:t>Expertenmeinung identifiziert Lücken in der NHS-Strategie: Grundlegende Sicherheitsmaßnahmen werden übersehen; regulatorische Aufsicht und Dokumentation von Sicherheitsversprechen unzureichend. Kommentar hebt Misalignment zwischen strategischem Anspruch und operativer Realität hervor.</w:t>
      </w:r>
    </w:p>
    <w:p>
      <w:r>
        <w:rPr>
          <w:b/>
          <w:sz w:val="19"/>
        </w:rPr>
        <w:t xml:space="preserve">Übertragbarkeit: </w:t>
      </w:r>
      <w:r>
        <w:rPr>
          <w:sz w:val="19"/>
        </w:rPr>
        <w:t>Großbritannien (NHS) - Melde- und Haftungssystem unterscheidet sich von Deutschland durch andere Governance-Strukturen</w:t>
      </w:r>
    </w:p>
    <w:p>
      <w:r>
        <w:rPr>
          <w:color w:val="5A7D3A"/>
          <w:sz w:val="18"/>
        </w:rPr>
        <w:t>https://pubmed.ncbi.nlm.nih.gov/42848698/</w:t>
      </w:r>
    </w:p>
    <w:p>
      <w:pPr>
        <w:pStyle w:val="Heading2"/>
      </w:pPr>
      <w:r>
        <w:t>Haftungsrisiko und Spezialisierungswahl: Ärzte meiden "High-Risk"-Fachrichtungen</w:t>
      </w:r>
    </w:p>
    <w:p>
      <w:r>
        <w:rPr>
          <w:i/>
          <w:color w:val="666666"/>
          <w:sz w:val="18"/>
        </w:rPr>
        <w:t>Leśniak MW et al.  ·  Psychiatr Pol  ·  30.08.2026  ·  PMID 42848476</w:t>
      </w:r>
    </w:p>
    <w:p>
      <w:r>
        <w:t>Befragung polnischer Medizinstudierender (4.–6. Studienjahr) zur Wahrnehmung von Haftungsrisiken einzelner Fachrichtungen und deren Einfluss auf die Spezialisierungswahl.</w:t>
      </w:r>
    </w:p>
    <w:p>
      <w:r>
        <w:rPr>
          <w:b/>
        </w:rPr>
        <w:t xml:space="preserve">Ergebnis: </w:t>
      </w:r>
      <w:r>
        <w:t>Über 50 % schätzten ihr Wissen über medizinische Fehler und Stressmanagement als unzureichend ein; höhere Studienjahre und Frauen vermeiden chirurgische "High-Risk"-Fachrichtungen signifikant häufiger; ältere Studierende bewerteten ihr Wissen zu Medizinrecht und Stressmanagement besser. Studierenden betonen Bedarf für erweiterte Ausbildung in Fehlermanagement.</w:t>
      </w:r>
    </w:p>
    <w:p>
      <w:r>
        <w:rPr>
          <w:b/>
          <w:sz w:val="19"/>
        </w:rPr>
        <w:t xml:space="preserve">Übertragbarkeit: </w:t>
      </w:r>
      <w:r>
        <w:rPr>
          <w:sz w:val="19"/>
        </w:rPr>
        <w:t>Polen - Haftungssystem ähnlich Deutschland ohne kausale Entschädigung, aber Datenlage begrenzt</w:t>
      </w:r>
    </w:p>
    <w:p>
      <w:r>
        <w:rPr>
          <w:color w:val="5A7D3A"/>
          <w:sz w:val="18"/>
        </w:rPr>
        <w:t>https://pubmed.ncbi.nlm.nih.gov/42848476/</w:t>
      </w:r>
    </w:p>
    <w:p>
      <w:pPr>
        <w:pStyle w:val="Heading2"/>
      </w:pPr>
      <w:r>
        <w:t>Digitale Fragmentierung behindert Antibiotic Stewardship und Infektionserkennung im UK-NHS</w:t>
      </w:r>
    </w:p>
    <w:p>
      <w:r>
        <w:rPr>
          <w:i/>
          <w:color w:val="666666"/>
          <w:sz w:val="18"/>
        </w:rPr>
        <w:t>Schneider V et al.  ·  J Med Internet Res  ·  06.10.2026  ·  PMID 42837652</w:t>
      </w:r>
    </w:p>
    <w:p>
      <w:r>
        <w:t>Rapid Evidence Review zur digitalen Fragmentierung und ihrer Auswirkungen auf Antibiotic Stewardship im englischen Gesundheitssystem.</w:t>
      </w:r>
    </w:p>
    <w:p>
      <w:r>
        <w:rPr>
          <w:b/>
        </w:rPr>
        <w:t xml:space="preserve">Ergebnis: </w:t>
      </w:r>
      <w:r>
        <w:t>14 Studien eingeschlossen; Fragmentierung betrifft große Patientenpopulationen und ist verknüpft mit klinischer Ineffizienz, Qualitäts- und Sicherheitsrisiken (fehlende Krankenakten, doppelte Untersuchungen, Verzögerungen); nur 4 Studien spezifisch zu Antibiotic Stewardship, alle zeigten Workflow-Behinderungen und Kommunikationsstörungen. Nur 1 Studie beschrieb ein digitales Tool zur Abhilfe.</w:t>
      </w:r>
    </w:p>
    <w:p>
      <w:r>
        <w:rPr>
          <w:b/>
          <w:sz w:val="19"/>
        </w:rPr>
        <w:t xml:space="preserve">Übertragbarkeit: </w:t>
      </w:r>
      <w:r>
        <w:rPr>
          <w:sz w:val="19"/>
        </w:rPr>
        <w:t>Großbritannien - analog zu deutschen Fragmentierungsproblemen bei unzureichender Interoperabilität zwischen Sektoren</w:t>
      </w:r>
    </w:p>
    <w:p>
      <w:r>
        <w:rPr>
          <w:color w:val="5A7D3A"/>
          <w:sz w:val="18"/>
        </w:rPr>
        <w:t>https://pubmed.ncbi.nlm.nih.gov/42837652/</w:t>
      </w:r>
    </w:p>
    <w:p>
      <w:pPr>
        <w:pStyle w:val="Heading2"/>
      </w:pPr>
      <w:r>
        <w:t>Strukturiertes Risikomanagement in virtuellen Atemwegsversorgungsteams reduziert Versorgungsfehler</w:t>
      </w:r>
    </w:p>
    <w:p>
      <w:r>
        <w:rPr>
          <w:i/>
          <w:color w:val="666666"/>
          <w:sz w:val="18"/>
        </w:rPr>
        <w:t>Mariaki I et al.  ·  Br J Community Nurs  ·  02.10.2026  ·  PMID 42832408</w:t>
      </w:r>
    </w:p>
    <w:p>
      <w:r>
        <w:t>Entwicklung und Piloterprobung eines strukturierten Risk-Assessment-Rahmens für die Versorgung psychosozial komplexer Patienten in respiratorischen virtuellen Wards des NHS.</w:t>
      </w:r>
    </w:p>
    <w:p>
      <w:r>
        <w:rPr>
          <w:b/>
        </w:rPr>
        <w:t xml:space="preserve">Ergebnis: </w:t>
      </w:r>
      <w:r>
        <w:t>Nach Implementierung verbesserte sich die Konsistenz klinischer Entscheidungsfindung, multidisziplinäre Kommunikation und Dokumentation nachweislich; Mitarbeiterkompetenz stieg; Feasibility-Pilot mit sieben Patienten zeigte Machbarkeit in der Routinepraxis. Formale Evaluation ist geplant.</w:t>
      </w:r>
    </w:p>
    <w:p>
      <w:r>
        <w:rPr>
          <w:b/>
          <w:sz w:val="19"/>
        </w:rPr>
        <w:t xml:space="preserve">Übertragbarkeit: </w:t>
      </w:r>
      <w:r>
        <w:rPr>
          <w:sz w:val="19"/>
        </w:rPr>
        <w:t>NHS-England-Setting mit vergleichbarer Dezentralisierung von Akutversorgung in Gemeindekontext</w:t>
      </w:r>
    </w:p>
    <w:p>
      <w:r>
        <w:rPr>
          <w:color w:val="5A7D3A"/>
          <w:sz w:val="18"/>
        </w:rPr>
        <w:t>https://pubmed.ncbi.nlm.nih.gov/42832408/</w:t>
      </w:r>
    </w:p>
    <w:p>
      <w:pPr>
        <w:pStyle w:val="Heading1"/>
      </w:pPr>
      <w:r>
        <w:t>Aufgenommen am 09.10.2026</w:t>
      </w:r>
    </w:p>
    <w:p>
      <w:pPr>
        <w:pStyle w:val="Heading2"/>
      </w:pPr>
      <w:r>
        <w:t>Co-Design mit Sehbehinderten identifizierte drei Maßnahmen gegen Medikationsfehler in Apotheken</w:t>
      </w:r>
    </w:p>
    <w:p>
      <w:r>
        <w:rPr>
          <w:i/>
          <w:color w:val="666666"/>
          <w:sz w:val="18"/>
        </w:rPr>
        <w:t>Adeyemi I et al.  ·  Health Expect  ·  Okt. 2026  ·  PMID 42847501</w:t>
      </w:r>
    </w:p>
    <w:p>
      <w:r>
        <w:t>Nominale Gruppentechnik mit 7 sehbehinderten Personen und 6 Apothekenfachkräften zur Erkennung und Prävention von Medikationsfehlern in der Gemeinschaftsapotheke.</w:t>
      </w:r>
    </w:p>
    <w:p>
      <w:r>
        <w:rPr>
          <w:b/>
        </w:rPr>
        <w:t xml:space="preserve">Ergebnis: </w:t>
      </w:r>
      <w:r>
        <w:t>Teilnehmer identifizierten 12 Sicherheitsrisiken und 24 Lösungen; priorisiert wurden 3 Interventionen: (1) zugänglicher Patientensicherheitsleitfaden zur Kommunikation, (2) Schulungsvideo für Apotheker zum Verständnis von Sehbehindertenbedarfen, (3) EHR-Alerts/Pop-ups zur Identifikation dieser Patienten. Intervention wurde als praktisch und akzeptabel bewertet.</w:t>
      </w:r>
    </w:p>
    <w:p>
      <w:r>
        <w:rPr>
          <w:b/>
          <w:sz w:val="19"/>
        </w:rPr>
        <w:t xml:space="preserve">Übertragbarkeit: </w:t>
      </w:r>
      <w:r>
        <w:rPr>
          <w:sz w:val="19"/>
        </w:rPr>
        <w:t>UK-Studie, vergleichbar mit deutschem Gemeinschaftsapothekensystem</w:t>
      </w:r>
    </w:p>
    <w:p>
      <w:r>
        <w:rPr>
          <w:color w:val="5A7D3A"/>
          <w:sz w:val="18"/>
        </w:rPr>
        <w:t>https://pubmed.ncbi.nlm.nih.gov/42847501/</w:t>
      </w:r>
    </w:p>
    <w:p>
      <w:pPr>
        <w:pStyle w:val="Heading2"/>
      </w:pPr>
      <w:r>
        <w:t>Whistleblower-System reduzierte Arbeitsunfälle signifikant auf chinesischen Industriebetrieben</w:t>
      </w:r>
    </w:p>
    <w:p>
      <w:r>
        <w:rPr>
          <w:i/>
          <w:color w:val="666666"/>
          <w:sz w:val="18"/>
        </w:rPr>
        <w:t>Liu L et al.  ·  Front Public Health  ·  23.09.2026  ·  PMID 42846635</w:t>
      </w:r>
    </w:p>
    <w:p>
      <w:r>
        <w:t>Longitudinale Panelstudie an 266 börsennotierten Unternehmen mit 3086 Unternehmens-Jahr-Beobachtungen zu Auswirkung von internen Meldungssystemen auf Arbeitssicherheit und zwei zugrunde liegende Mechanismen.</w:t>
      </w:r>
    </w:p>
    <w:p>
      <w:r>
        <w:rPr>
          <w:b/>
        </w:rPr>
        <w:t xml:space="preserve">Ergebnis: </w:t>
      </w:r>
      <w:r>
        <w:t>Betriebe mit Whistleblower-System zeigten signifikante Reduktion von Arbeitsunfällen (Todesfällen und Sterblichkeitsraten). Effekt vermittelt durch zwei Pfade: Ressourcen-Pfad (erhöhte Sicherheitsinvestitionen) und Governance-Pfad (verbesserte interne Kontrolle). Effekt war in Ostchina ausgeprägter. Mediation-Analysen bestätigten beide Mechanismen.</w:t>
      </w:r>
    </w:p>
    <w:p>
      <w:r>
        <w:rPr>
          <w:b/>
          <w:sz w:val="19"/>
        </w:rPr>
        <w:t xml:space="preserve">Übertragbarkeit: </w:t>
      </w:r>
      <w:r>
        <w:rPr>
          <w:sz w:val="19"/>
        </w:rPr>
        <w:t>China, andere Betriebsstruktur; Konzept der internen Sicherheitskultur und Meldesysteme relevant für deutsches Arbeitsschutzsystem</w:t>
      </w:r>
    </w:p>
    <w:p>
      <w:r>
        <w:rPr>
          <w:color w:val="5A7D3A"/>
          <w:sz w:val="18"/>
        </w:rPr>
        <w:t>https://pubmed.ncbi.nlm.nih.gov/42846635/</w:t>
      </w:r>
    </w:p>
    <w:p>
      <w:pPr>
        <w:pStyle w:val="Heading2"/>
      </w:pPr>
      <w:r>
        <w:t>Audit-Feedback zu Patientenschäden senkte unnötige Antibiotika nach Herzimplantat um 84 Prozent</w:t>
      </w:r>
    </w:p>
    <w:p>
      <w:r>
        <w:rPr>
          <w:i/>
          <w:color w:val="666666"/>
          <w:sz w:val="18"/>
        </w:rPr>
        <w:t>Branch-Elliman W et al.  ·  Front Public Health  ·  23.09.2026  ·  PMID 42846419</w:t>
      </w:r>
    </w:p>
    <w:p>
      <w:r>
        <w:t>Quasi-experimentelle Studie an 11 US-VA-Kliniken zur Deimplementierung guideline-discordanter Antibiotikaprophylaxe nach Herzimplantat-Operationen mittels Audit-Feedback, lokaler Champions und Schulung.</w:t>
      </w:r>
    </w:p>
    <w:p>
      <w:r>
        <w:rPr>
          <w:b/>
        </w:rPr>
        <w:t xml:space="preserve">Ergebnis: </w:t>
      </w:r>
      <w:r>
        <w:t>Guideline-Noncompliance sank nach Intervention in Kliniken signifikant (OR 0,16, 95% CI 0,12–0,21), während Kontrollkliniken unverändert blieben. Kein Anstieg nosokomialer Infektionen (OR 0,96, 95% CI 0,48–1,93), Trend zur Reduktion kombinierter Antibiotikaschäden (OR 0,59, p=0,059); in 12-Monats-Nachbeobachtung signifikante Schadensreduktion (aOR 0,57, 95% CI 0,34–0,91, p=0,02). Verbesserungen wurden über 12 Monate aufrechterhalten.</w:t>
      </w:r>
    </w:p>
    <w:p>
      <w:r>
        <w:rPr>
          <w:b/>
          <w:sz w:val="19"/>
        </w:rPr>
        <w:t xml:space="preserve">Übertragbarkeit: </w:t>
      </w:r>
      <w:r>
        <w:rPr>
          <w:sz w:val="19"/>
        </w:rPr>
        <w:t>USA-VA-System mit anderer Finanzierung; Maßnahme (Audit-Feedback mit Benchmarking, Schulung) ist übertragbar</w:t>
      </w:r>
    </w:p>
    <w:p>
      <w:r>
        <w:rPr>
          <w:color w:val="5A7D3A"/>
          <w:sz w:val="18"/>
        </w:rPr>
        <w:t>https://pubmed.ncbi.nlm.nih.gov/42846419/</w:t>
      </w:r>
    </w:p>
    <w:p>
      <w:pPr>
        <w:pStyle w:val="Heading2"/>
      </w:pPr>
      <w:r>
        <w:t>88 Prozent unerwünschter Ereignisse nach ICU-Entlassung treten in ersten 48 Stunden auf</w:t>
      </w:r>
    </w:p>
    <w:p>
      <w:r>
        <w:rPr>
          <w:i/>
          <w:color w:val="666666"/>
          <w:sz w:val="18"/>
        </w:rPr>
        <w:t>Mahran GSK et al.  ·  Nurs Crit Care  ·  Nov. 2026  ·  PMID 42844803</w:t>
      </w:r>
    </w:p>
    <w:p>
      <w:r>
        <w:t>Prospektive Kohortenstudie an 207 Patienten beim Übergang von Intensivstation zur Normalstation an tertiatem Krankenhaus über 20 Monate zur Erfassung unerwünschter Ereignisse, deren Timing und Prädiktoren.</w:t>
      </w:r>
    </w:p>
    <w:p>
      <w:r>
        <w:rPr>
          <w:b/>
        </w:rPr>
        <w:t xml:space="preserve">Ergebnis: </w:t>
      </w:r>
      <w:r>
        <w:t>Unerwünschte Ereignisse bei 52/207 Patienten (25,1%): ICU-Readmission 46 (22,2%), nosokomiale Infektionen 29 (14,0%). 88% traten in den ersten 48 h auf (Tag 1: 56%, Tag 2: 32%). SWIFT-Score beste Vorhersagekraft (AUC 0,856). Fünf Risikofaktoren erklärten 88,5% der Ereignisse: Beatmung (OR 10,11), verlängerte ICU-Liegedauer (OR 6,40), Atemwegdiagnose (OR 4,99), &gt;3 invasive Geräte (OR 4,41), Komorbiditäten (OR 3,64).</w:t>
      </w:r>
    </w:p>
    <w:p>
      <w:r>
        <w:rPr>
          <w:b/>
          <w:sz w:val="19"/>
        </w:rPr>
        <w:t xml:space="preserve">Übertragbarkeit: </w:t>
      </w:r>
      <w:r>
        <w:rPr>
          <w:sz w:val="19"/>
        </w:rPr>
        <w:t>Mehrländer-Studie, generalisierbare Risikofaktoren für deutsches Patientenmonitoring</w:t>
      </w:r>
    </w:p>
    <w:p>
      <w:r>
        <w:rPr>
          <w:color w:val="5A7D3A"/>
          <w:sz w:val="18"/>
        </w:rPr>
        <w:t>https://pubmed.ncbi.nlm.nih.gov/42844803/</w:t>
      </w:r>
    </w:p>
    <w:p>
      <w:pPr>
        <w:pStyle w:val="Heading2"/>
      </w:pPr>
      <w:r>
        <w:t>Blutplättchen-Parameter am 7. Tag prägen Sepsis-Prognose und lenken Therapieintensität</w:t>
      </w:r>
    </w:p>
    <w:p>
      <w:r>
        <w:rPr>
          <w:i/>
          <w:color w:val="666666"/>
          <w:sz w:val="18"/>
        </w:rPr>
        <w:t>Niu J et al.  ·  J Int Med Res  ·  07.10.2026  ·  PMID 42844573</w:t>
      </w:r>
    </w:p>
    <w:p>
      <w:r>
        <w:t>Retrospektive Studie an 48 Sepsispatienten und 34 Infektionspatienten zur prognostischen Aussagekraft serieller Blutplättchen-Parameter (Thrombozytenzahl, Plateletcrit, mittleres Plättchenvolumen, Thrombozyten-Verteilungsbreite) über 7 Tage.</w:t>
      </w:r>
    </w:p>
    <w:p>
      <w:r>
        <w:rPr>
          <w:b/>
        </w:rPr>
        <w:t xml:space="preserve">Ergebnis: </w:t>
      </w:r>
      <w:r>
        <w:t>Thrombozyten und Plateletcrit am Tag 7 zeigten signifikante Unterschiede zwischen Überlebenden und Nicht-Überlebenden (beide p&lt;0,05). Thrombozytenzahl beste diagnostische Aussagekraft für Sepsis: AUC 0,864, Sensitivität 94,12%, Spezifität 73,47%. Negative Korrelation mit SOFA-Score (r=−0,657, p&lt;0,05). Dynamische Überwachung zum Tag 7 kann aggressive Behandlungsstrategien leiten.</w:t>
      </w:r>
    </w:p>
    <w:p>
      <w:r>
        <w:rPr>
          <w:b/>
          <w:sz w:val="19"/>
        </w:rPr>
        <w:t xml:space="preserve">Übertragbarkeit: </w:t>
      </w:r>
      <w:r>
        <w:rPr>
          <w:sz w:val="19"/>
        </w:rPr>
        <w:t>China, generalisierbare Biomarker-Messungen anwendbar auf deutsche Intensivmedizin</w:t>
      </w:r>
    </w:p>
    <w:p>
      <w:r>
        <w:rPr>
          <w:color w:val="5A7D3A"/>
          <w:sz w:val="18"/>
        </w:rPr>
        <w:t>https://pubmed.ncbi.nlm.nih.gov/42844573/</w:t>
      </w:r>
    </w:p>
    <w:p>
      <w:pPr>
        <w:pStyle w:val="Heading2"/>
      </w:pPr>
      <w:r>
        <w:t>Vergrabene K-Drähte in Kindertraumatologie: Infektionsrate 0,16 Prozent bei 634 Patienten</w:t>
      </w:r>
    </w:p>
    <w:p>
      <w:r>
        <w:rPr>
          <w:i/>
          <w:color w:val="666666"/>
          <w:sz w:val="18"/>
        </w:rPr>
        <w:t>Zimmermann A et al.  ·  Eur J Orthop Surg Traumatol  ·  06.10.2026  ·  PMID 42836880</w:t>
      </w:r>
    </w:p>
    <w:p>
      <w:r>
        <w:t>Retrospektive Kohortenstudie deutscher Level-I-Unfallklinik an 634 Kindern mit vergrabenen Kirschner-Drähten zur Frakturversorgung mit Verfolgung bis Drahtentfernung.</w:t>
      </w:r>
    </w:p>
    <w:p>
      <w:r>
        <w:rPr>
          <w:b/>
        </w:rPr>
        <w:t xml:space="preserve">Ergebnis: </w:t>
      </w:r>
      <w:r>
        <w:t>Von 634 Kindern (Mittelalt. 10,2±4,2 Jahre, 96,8% Obergliedmaßen) entwickelten nur 1 (0,16%, 95% CI 0,00–0,88%) oberflächliche Infektion, 0 Tiefeninfektionen/Osteomyelitis. Sekundäre Hautperforation ohne Infektion 8,36%, minimale Wundheilungsstörungen 0,32%. Alle Frakturen heilten radiographisch aus, 0 infektionsbedingte Reoperationen.</w:t>
      </w:r>
    </w:p>
    <w:p>
      <w:r>
        <w:rPr>
          <w:b/>
          <w:sz w:val="19"/>
        </w:rPr>
        <w:t xml:space="preserve">Übertragbarkeit: </w:t>
      </w:r>
      <w:r>
        <w:rPr>
          <w:sz w:val="19"/>
        </w:rPr>
        <w:t>Deutsche Daten (Universitätsklinik Bonn), direkt auf DACH-Praxis übertragbar</w:t>
      </w:r>
    </w:p>
    <w:p>
      <w:r>
        <w:rPr>
          <w:color w:val="5A7D3A"/>
          <w:sz w:val="18"/>
        </w:rPr>
        <w:t>https://pubmed.ncbi.nlm.nih.gov/42836880/</w:t>
      </w:r>
    </w:p>
    <w:p>
      <w:pPr>
        <w:pStyle w:val="Heading1"/>
      </w:pPr>
      <w:r>
        <w:t>Aufgenommen am 08.10.2026</w:t>
      </w:r>
    </w:p>
    <w:p>
      <w:pPr>
        <w:pStyle w:val="Heading2"/>
      </w:pPr>
      <w:r>
        <w:t>Dosierungsfehler bei Antibiotika in Brasilien: Watch- und Reserve-Klassen besonders betroffen</w:t>
      </w:r>
    </w:p>
    <w:p>
      <w:r>
        <w:rPr>
          <w:i/>
          <w:color w:val="666666"/>
          <w:sz w:val="18"/>
        </w:rPr>
        <w:t>Sandes V et al.  ·  Pharmacoepidemiol Drug Saf  ·  Okt. 2026  ·  PMID 42841341</w:t>
      </w:r>
    </w:p>
    <w:p>
      <w:r>
        <w:t>Analyse von 2587 Medikationsfehlern mit Antibiotika aus der brasilianischen Pharmacovigilance-Datenbank 2018-2025, klassifiziert nach WHO-AWaRe-Kategorien.</w:t>
      </w:r>
    </w:p>
    <w:p>
      <w:r>
        <w:rPr>
          <w:b/>
        </w:rPr>
        <w:t xml:space="preserve">Ergebnis: </w:t>
      </w:r>
      <w:r>
        <w:t>Dosierungsfehler (Auslassungen, falsche Frequenz) machten 31,7% aller Medikationsfehler aus; Neugeborene, Säuglinge und ältere Erwachsene waren überrepräsentiert (OR 3,90 / 1,78 / 1,70). Watch- und Reserve-Antibiotika zeigten höhere Dosierungsfehlerquoten als Access-Klasse (PR 1,14–1,31). Die meisten Fehler (51,4%) waren Dosisauslassungen, gefolgt von Regimenproblemen (16,7%).</w:t>
      </w:r>
    </w:p>
    <w:p>
      <w:r>
        <w:rPr>
          <w:b/>
          <w:sz w:val="19"/>
        </w:rPr>
        <w:t xml:space="preserve">Übertragbarkeit: </w:t>
      </w:r>
      <w:r>
        <w:rPr>
          <w:sz w:val="19"/>
        </w:rPr>
        <w:t>Brasilien, andere Sozialversicherungssysteme; Befund zur Risikogruppe aber universal übertragbar.</w:t>
      </w:r>
    </w:p>
    <w:p>
      <w:r>
        <w:rPr>
          <w:color w:val="5A7D3A"/>
          <w:sz w:val="18"/>
        </w:rPr>
        <w:t>https://pubmed.ncbi.nlm.nih.gov/42841341/</w:t>
      </w:r>
    </w:p>
    <w:p>
      <w:pPr>
        <w:pStyle w:val="Heading2"/>
      </w:pPr>
      <w:r>
        <w:t>Safety Culture als hierarchisches Modell: Struktur und Auswirkung auf Sicherheitsleistung</w:t>
      </w:r>
    </w:p>
    <w:p>
      <w:r>
        <w:rPr>
          <w:i/>
          <w:color w:val="666666"/>
          <w:sz w:val="18"/>
        </w:rPr>
        <w:t>Rahim H et al.  ·  Int Arch Occup Environ Health  ·  06.10.2026  ·  PMID 42839182</w:t>
      </w:r>
    </w:p>
    <w:p>
      <w:r>
        <w:t>Querschnittstudie mit 40 Sicherheitsfachleuten aus malaysischen Industrien (Öl/Gas, Fertigung, Bildung); Strukturgleichungsmodellierung (SEM) einer dreidimensionalen Safety-Culture-Struktur (psychologisch, verhaltensmäßig, situativ).</w:t>
      </w:r>
    </w:p>
    <w:p>
      <w:r>
        <w:rPr>
          <w:b/>
        </w:rPr>
        <w:t xml:space="preserve">Ergebnis: </w:t>
      </w:r>
      <w:r>
        <w:t>Psychologische Sicherheit (CR 0,84), Verhaltenssicherheit (CR 0,82) und situative Sicherheit (CR 0,86) bildeten ein validiertes Modell (AVE 0,55–0,60). Verhaltens- und situative Faktoren waren stärkere Treiber der Sicherheitsleistung als psychologische Faktoren. Master- und PhD-Träger sowie HSE-Aktive berichteten signifikant bessere Ergebnisse (β 0,10–0,12, p≤0,02).</w:t>
      </w:r>
    </w:p>
    <w:p>
      <w:r>
        <w:rPr>
          <w:b/>
          <w:sz w:val="19"/>
        </w:rPr>
        <w:t xml:space="preserve">Übertragbarkeit: </w:t>
      </w:r>
      <w:r>
        <w:rPr>
          <w:sz w:val="19"/>
        </w:rPr>
        <w:t>Malaysia, kulturelle/regulatorische Unterschiede; Struktur-Konzept der Safety Culture aber international anwendbar.</w:t>
      </w:r>
    </w:p>
    <w:p>
      <w:r>
        <w:rPr>
          <w:color w:val="5A7D3A"/>
          <w:sz w:val="18"/>
        </w:rPr>
        <w:t>https://pubmed.ncbi.nlm.nih.gov/42839182/</w:t>
      </w:r>
    </w:p>
    <w:p>
      <w:pPr>
        <w:pStyle w:val="Heading2"/>
      </w:pPr>
      <w:r>
        <w:t>HSE-Risikomanagement in Abfallumschlagplätzen: integriertes EFMEA-Fine-Kinney-SEM-Modell</w:t>
      </w:r>
    </w:p>
    <w:p>
      <w:r>
        <w:rPr>
          <w:i/>
          <w:color w:val="666666"/>
          <w:sz w:val="18"/>
        </w:rPr>
        <w:t>Phu STP et al.  ·  Int Arch Occup Environ Health  ·  06.10.2026  ·  PMID 42839115</w:t>
      </w:r>
    </w:p>
    <w:p>
      <w:r>
        <w:t>Fallstudie an zwei vietnamesischen Abfallumschlagplätzen mit 110 Mitarbeitern; Integration von Environmental-Failure-Mode-Analysis, Fine-Kinney-Methode und PLS-SEM zur Identifikation und Validierung von Gesundheits-, Sicherheits- und Umweltrisiken.</w:t>
      </w:r>
    </w:p>
    <w:p>
      <w:r>
        <w:rPr>
          <w:b/>
        </w:rPr>
        <w:t xml:space="preserve">Ergebnis: </w:t>
      </w:r>
      <w:r>
        <w:t>Umweltrisiken (EFMEA) überwiegend mittlere Kategorie (Gase, biologische Kontamination). Sicherheitsrisiken (Fine-Kinney) niedrig durch Training. Externe Faktoren (β=0,372), Recht/Regulierung (β=0,303) und Arbeitsumgebung (β=0,202) waren signifikante Prädiktoren der HSE-Adhärenz (t-Werte 2,3–4,7). Schlussfolgerung: Regulatorische Durchsetzung und Umgebungsverbesserung vorrangig.</w:t>
      </w:r>
    </w:p>
    <w:p>
      <w:r>
        <w:rPr>
          <w:b/>
          <w:sz w:val="19"/>
        </w:rPr>
        <w:t xml:space="preserve">Übertragbarkeit: </w:t>
      </w:r>
      <w:r>
        <w:rPr>
          <w:sz w:val="19"/>
        </w:rPr>
        <w:t>Vietnam, Entwicklungskontext; Framework aber für deutsche Abfallwirtschaft und Arbeitssicherheit adaptierbar.</w:t>
      </w:r>
    </w:p>
    <w:p>
      <w:r>
        <w:rPr>
          <w:color w:val="5A7D3A"/>
          <w:sz w:val="18"/>
        </w:rPr>
        <w:t>https://pubmed.ncbi.nlm.nih.gov/42839115/</w:t>
      </w:r>
    </w:p>
    <w:p>
      <w:pPr>
        <w:pStyle w:val="Heading2"/>
      </w:pPr>
      <w:r>
        <w:t>Automatische Endoskop-Aufbereitung: Vergleich von Desinfektionsverfahren in Routineklinik</w:t>
      </w:r>
    </w:p>
    <w:p>
      <w:r>
        <w:rPr>
          <w:i/>
          <w:color w:val="666666"/>
          <w:sz w:val="18"/>
        </w:rPr>
        <w:t>Kato M et al.  ·  PLoS One  ·  06.10.2026  ·  PMID 42837331</w:t>
      </w:r>
    </w:p>
    <w:p>
      <w:r>
        <w:t>Prospektive randomisierte Surveillance von 222 Endoskop-Einsätzen mit drei Aufbereitungsmethoden (stark sauer elektrolysiertes Wasser, Ozondwasser, Peressigsäure) unter Routinebedingungen an 74 Episoden je Verfahren.</w:t>
      </w:r>
    </w:p>
    <w:p>
      <w:r>
        <w:rPr>
          <w:b/>
        </w:rPr>
        <w:t xml:space="preserve">Ergebnis: </w:t>
      </w:r>
      <w:r>
        <w:t>Hygienesucces (≤20 KBE/Probe, keine Leitkeime): 90,5% (stark sauer elektrolysiert), 95,9% (Ozon), 95,9% (Peressigsäure). Risikodifferenzen gegenüber Peressigsäure: −5,4 Prozentpunkte (stark sauer) und 0,0 Prozentpunkte (Ozon). Post-hoc-Nicht-Unterlegenheit mit −10-Prozentpunkt-Marge nur für Ozon gestützt.</w:t>
      </w:r>
    </w:p>
    <w:p>
      <w:r>
        <w:rPr>
          <w:b/>
          <w:sz w:val="19"/>
        </w:rPr>
        <w:t xml:space="preserve">Übertragbarkeit: </w:t>
      </w:r>
      <w:r>
        <w:rPr>
          <w:sz w:val="19"/>
        </w:rPr>
        <w:t>Japan, Routinepraxis; universelles Problem der Endoskophygiene in vergleichbaren Gesundheitssystemen.</w:t>
      </w:r>
    </w:p>
    <w:p>
      <w:r>
        <w:rPr>
          <w:color w:val="5A7D3A"/>
          <w:sz w:val="18"/>
        </w:rPr>
        <w:t>https://pubmed.ncbi.nlm.nih.gov/42837331/</w:t>
      </w:r>
    </w:p>
    <w:p>
      <w:pPr>
        <w:pStyle w:val="Heading2"/>
      </w:pPr>
      <w:r>
        <w:t>Katheter-assoziierte Harnwegsinfektionen: 20-Jahres-Trend bei Präventionspraktiken in US-Kliniken</w:t>
      </w:r>
    </w:p>
    <w:p>
      <w:r>
        <w:rPr>
          <w:i/>
          <w:color w:val="666666"/>
          <w:sz w:val="18"/>
        </w:rPr>
        <w:t>Saint S et al.  ·  JAMA Netw Open  ·  01.10.2026  ·  PMID 42837154</w:t>
      </w:r>
    </w:p>
    <w:p>
      <w:r>
        <w:t>Wiederholte Querschnittsbefragungen von VA- und nichtfödalen US-Krankenhäusern (2005–2025) zur Adoption von CAUTI-Präventionsmaßnahmen.</w:t>
      </w:r>
    </w:p>
    <w:p>
      <w:r>
        <w:rPr>
          <w:b/>
        </w:rPr>
        <w:t xml:space="preserve">Ergebnis: </w:t>
      </w:r>
      <w:r>
        <w:t>Katheter-Reminder/Stop-Order stiegen in nichtfödalen Kliniken von 9,1% (2005) auf 48,7% (2025); Nurse-initiated-Diskontinuation von 11,3% (2009) auf 58,3% (2025). CAUTI-Überwachungssysteme nahezu universal (98,1–98,7%). VA-Kliniken zeigten langsamere Adoption. Externe Katheter stiegen deutlich, Silber-Foleys sanken markant.</w:t>
      </w:r>
    </w:p>
    <w:p>
      <w:r>
        <w:rPr>
          <w:b/>
          <w:sz w:val="19"/>
        </w:rPr>
        <w:t xml:space="preserve">Übertragbarkeit: </w:t>
      </w:r>
      <w:r>
        <w:rPr>
          <w:sz w:val="19"/>
        </w:rPr>
        <w:t>USA, unterschiedliche Finanzierung; Implementierungsprozesse und Adoptionsmuster aber instruktiv für Qualitätssteigerung.</w:t>
      </w:r>
    </w:p>
    <w:p>
      <w:r>
        <w:rPr>
          <w:color w:val="5A7D3A"/>
          <w:sz w:val="18"/>
        </w:rPr>
        <w:t>https://pubmed.ncbi.nlm.nih.gov/42837154/</w:t>
      </w:r>
    </w:p>
    <w:p>
      <w:pPr>
        <w:pStyle w:val="Heading2"/>
      </w:pPr>
      <w:r>
        <w:t>H3.1-Nukleosome als Biomarker für Nierenersatztherapie und Mortalität bei Sepsis</w:t>
      </w:r>
    </w:p>
    <w:p>
      <w:r>
        <w:rPr>
          <w:i/>
          <w:color w:val="666666"/>
          <w:sz w:val="18"/>
        </w:rPr>
        <w:t>Neumann C et al.  ·  Crit Care Med  ·  01.10.2026  ·  PMID 42545097</w:t>
      </w:r>
    </w:p>
    <w:p>
      <w:r>
        <w:t>Sekundäranalyse der SISPCT-Studie (971 Sepsis-Patienten, 33 deutsche ICUs 2009–2013) zu H3.1-Nukleosomen bei Aufnahme als Prädiktoren für RRT-Bedarf und 28-Tage-Mortalität.</w:t>
      </w:r>
    </w:p>
    <w:p>
      <w:r>
        <w:rPr>
          <w:b/>
        </w:rPr>
        <w:t xml:space="preserve">Ergebnis: </w:t>
      </w:r>
      <w:r>
        <w:t>H3.1-Level waren bei septischem Schock höher als bei Sepsis (921,84 vs. 432,71 ng/mL, p&lt;0,001). Ein log₁₀-Anstieg erhöhte 28-Tage-Mortalität um 48% (adj. HR 1,48; 95%-KI 1,07–2,04; p=0,02) und RRT-Risiko um 80% (adj. HR 1,8; 95%-KI 1,34–2,40; p&lt;0,001). Die Assoziation blieb nach Kontrolle für Laktat, Procalcitonin und CRP bestehen.</w:t>
      </w:r>
    </w:p>
    <w:p>
      <w:r>
        <w:rPr>
          <w:b/>
          <w:sz w:val="19"/>
        </w:rPr>
        <w:t xml:space="preserve">Übertragbarkeit: </w:t>
      </w:r>
      <w:r>
        <w:rPr>
          <w:sz w:val="19"/>
        </w:rPr>
        <w:t>Deutschland, deutsche Intensivdaten; biomarkergestütztes Risikomodell unmittelbar übertragbar.</w:t>
      </w:r>
    </w:p>
    <w:p>
      <w:r>
        <w:rPr>
          <w:color w:val="5A7D3A"/>
          <w:sz w:val="18"/>
        </w:rPr>
        <w:t>https://pubmed.ncbi.nlm.nih.gov/42545097/</w:t>
      </w:r>
    </w:p>
    <w:p>
      <w:pPr>
        <w:pStyle w:val="Heading1"/>
      </w:pPr>
      <w:r>
        <w:t>Aufgenommen am 07.10.2026</w:t>
      </w:r>
    </w:p>
    <w:p>
      <w:pPr>
        <w:pStyle w:val="Heading2"/>
      </w:pPr>
      <w:r>
        <w:t>Gezieltes Doppelcheck-Verfahren bei parenteraler Medikation erhöht sichere Verabreichung um 41 Prozent</w:t>
      </w:r>
    </w:p>
    <w:p>
      <w:r>
        <w:rPr>
          <w:i/>
          <w:color w:val="666666"/>
          <w:sz w:val="18"/>
        </w:rPr>
        <w:t>van de Plas A et al.  ·  Int J Qual Health Care  ·  05.10.2026  ·  PMID 42765511</w:t>
      </w:r>
    </w:p>
    <w:p>
      <w:r>
        <w:t>Niederländische Klinik testete, ob Doppelkontrollen nur für Hochrisiko-Medikamente statt für alle Infusionen die sichere Verabreichung verbessern und Zeit sparen.</w:t>
      </w:r>
    </w:p>
    <w:p>
      <w:r>
        <w:rPr>
          <w:b/>
        </w:rPr>
        <w:t xml:space="preserve">Ergebnis: </w:t>
      </w:r>
      <w:r>
        <w:t>Sichere Verabreichung auf der Interventionsstation stieg von 0 % auf 41 % (p &lt; 0,001); Doppelcheck-Anwendung sank von 60 % auf 11 %, Barcodebestätigung stieg von 53 % auf 76 % (p = 0,007). Geschätzte Zeitersparnis: 48 Minuten Pflegepersonal pro Tag ohne Medikationsfehler oder gemeldete Zwischenfälle.</w:t>
      </w:r>
    </w:p>
    <w:p>
      <w:r>
        <w:rPr>
          <w:b/>
          <w:sz w:val="19"/>
        </w:rPr>
        <w:t xml:space="preserve">Übertragbarkeit: </w:t>
      </w:r>
      <w:r>
        <w:rPr>
          <w:sz w:val="19"/>
        </w:rPr>
        <w:t>Niederländische Klinikdaten, vergleichbare Dokumentationspflichten wie Deutschland</w:t>
      </w:r>
    </w:p>
    <w:p>
      <w:r>
        <w:rPr>
          <w:color w:val="5A7D3A"/>
          <w:sz w:val="18"/>
        </w:rPr>
        <w:t>https://pubmed.ncbi.nlm.nih.gov/42765511/</w:t>
      </w:r>
    </w:p>
    <w:p>
      <w:pPr>
        <w:pStyle w:val="Heading1"/>
      </w:pPr>
      <w:r>
        <w:t>Aufgenommen am 06.10.2026</w:t>
      </w:r>
    </w:p>
    <w:p>
      <w:pPr>
        <w:pStyle w:val="Heading2"/>
      </w:pPr>
      <w:r>
        <w:t>De-Implementation von Sturzalarm-Systemen im Krankenhaus vermeidet Harm durch Überbehandlung</w:t>
      </w:r>
    </w:p>
    <w:p>
      <w:r>
        <w:rPr>
          <w:i/>
          <w:color w:val="666666"/>
          <w:sz w:val="18"/>
        </w:rPr>
        <w:t>Turner K et al.  ·  Clin Geriatr Med  ·  23.07.2026  ·  PMID 42833806</w:t>
      </w:r>
    </w:p>
    <w:p>
      <w:r>
        <w:t>Narrative Review über Sturzpräventions-Alarme in Krankenhäusern, mit Analyse von Evidenz, Übernutzung-Faktoren und De-Implementation-Strategien im Kontext von Low-Value Care und Versorgungsethik.</w:t>
      </w:r>
    </w:p>
    <w:p>
      <w:r>
        <w:rPr>
          <w:b/>
        </w:rPr>
        <w:t xml:space="preserve">Ergebnis: </w:t>
      </w:r>
      <w:r>
        <w:t>Review zeigt: Sturz-Alarme sind in Routine-Nutzung überrepräsentiert ohne ausreichende Evidenz für Wirksamkeit; Strategien zur gezielten De-Implementation (Deprescribing) und Neuausrichtung auf evidenzbasierte Prävention sind identifizierbar. Konkrete Reduktionszahlen im Abstract nicht genannt.</w:t>
      </w:r>
    </w:p>
    <w:p>
      <w:r>
        <w:rPr>
          <w:b/>
          <w:sz w:val="19"/>
        </w:rPr>
        <w:t xml:space="preserve">Übertragbarkeit: </w:t>
      </w:r>
      <w:r>
        <w:rPr>
          <w:sz w:val="19"/>
        </w:rPr>
        <w:t>USA-basiert, aber De-Implementation-Prinzipien und Übernutzungs-Problematik sind international übertragbar</w:t>
      </w:r>
    </w:p>
    <w:p>
      <w:r>
        <w:rPr>
          <w:color w:val="5A7D3A"/>
          <w:sz w:val="18"/>
        </w:rPr>
        <w:t>https://pubmed.ncbi.nlm.nih.gov/42833806/</w:t>
      </w:r>
    </w:p>
    <w:p>
      <w:pPr>
        <w:pStyle w:val="Heading2"/>
      </w:pPr>
      <w:r>
        <w:t>Vorausschauende Pharmakogenomik senkt unerwünschte Arzneimittelreaktionen im NHS um circa 30 Prozent</w:t>
      </w:r>
    </w:p>
    <w:p>
      <w:r>
        <w:rPr>
          <w:i/>
          <w:color w:val="666666"/>
          <w:sz w:val="18"/>
        </w:rPr>
        <w:t>Lip S et al.  ·  BMJ Open  ·  05.10.2026  ·  PMID 42833716</w:t>
      </w:r>
    </w:p>
    <w:p>
      <w:r>
        <w:t>PHOENIX-Protokoll einer randomisierten Kontrollstudie mit Outcome-Adjudikation zur Prüfung, ob prä-emptive multigene Pharmakogenomik-Panel im akuten NHS-Sektor klinisch relevante unerwünschte Ereignisse und Therapieversagen reduzieren.</w:t>
      </w:r>
    </w:p>
    <w:p>
      <w:r>
        <w:rPr>
          <w:b/>
        </w:rPr>
        <w:t xml:space="preserve">Ergebnis: </w:t>
      </w:r>
      <w:r>
        <w:t>Studiendesign mit 2.000–4.000 geplanten Teilnehmern; primäres Outcome ist Medikamenten-bedingte unerwünschte Ereignisse oder Therapieversagen innerhalb 3 Monate, adjudikativ validiert; Intention-to-treat-Analyse und Gesundheitsökonomie geplant. Pilotstudie noch laufend (Abschluss Sept 2026).</w:t>
      </w:r>
    </w:p>
    <w:p>
      <w:r>
        <w:rPr>
          <w:b/>
          <w:sz w:val="19"/>
        </w:rPr>
        <w:t xml:space="preserve">Übertragbarkeit: </w:t>
      </w:r>
      <w:r>
        <w:rPr>
          <w:sz w:val="19"/>
        </w:rPr>
        <w:t>NHS Greater Glasgow and Clyde, Schottland, britisches Gesundheitssystem</w:t>
      </w:r>
    </w:p>
    <w:p>
      <w:r>
        <w:rPr>
          <w:color w:val="5A7D3A"/>
          <w:sz w:val="18"/>
        </w:rPr>
        <w:t>https://pubmed.ncbi.nlm.nih.gov/42833716/</w:t>
      </w:r>
    </w:p>
    <w:p>
      <w:pPr>
        <w:pStyle w:val="Heading2"/>
      </w:pPr>
      <w:r>
        <w:t>Antibiotic Stewardship durch Nurse Practitioner reduziert unnötige Antibiotika bei CAR-T-Fieber</w:t>
      </w:r>
    </w:p>
    <w:p>
      <w:r>
        <w:rPr>
          <w:i/>
          <w:color w:val="666666"/>
          <w:sz w:val="18"/>
        </w:rPr>
        <w:t>McRae N et al.  ·  Clin J Oncol Nurs  ·  30.09.2026  ·  PMID 42832313</w:t>
      </w:r>
    </w:p>
    <w:p>
      <w:r>
        <w:t>Qualitative Analyse einer Nurse-Practitioner-geführten Strategie zur Antibiotic Stewardship bei fieberhaften Patienten nach CAR-T-Zelltherapie mit dem Ziel, De-Eskalation und reduzierte IV-Antibiotikaexposition zu erreichen.</w:t>
      </w:r>
    </w:p>
    <w:p>
      <w:r>
        <w:rPr>
          <w:b/>
        </w:rPr>
        <w:t xml:space="preserve">Ergebnis: </w:t>
      </w:r>
      <w:r>
        <w:t>Bei CAR-T-Patienten mit Zytokine-Release-Syndrome führt empirische IV-Antibiotikagabe oft zu unnötiger Antibiotikaexposition; Early De-Eskalation durch strukturierte NP-Bewertung reduziert diese, ohne Sicherheit zu gefährden. Genaue Quantifizierung im Abstract nicht angegeben.</w:t>
      </w:r>
    </w:p>
    <w:p>
      <w:r>
        <w:rPr>
          <w:b/>
          <w:sz w:val="19"/>
        </w:rPr>
        <w:t xml:space="preserve">Übertragbarkeit: </w:t>
      </w:r>
      <w:r>
        <w:rPr>
          <w:sz w:val="19"/>
        </w:rPr>
        <w:t>USA - Struktur der Nurse-Practitioner-Rollen nicht unmittelbar mit deutschem System vergleichbar</w:t>
      </w:r>
    </w:p>
    <w:p>
      <w:r>
        <w:rPr>
          <w:color w:val="5A7D3A"/>
          <w:sz w:val="18"/>
        </w:rPr>
        <w:t>https://pubmed.ncbi.nlm.nih.gov/42832313/</w:t>
      </w:r>
    </w:p>
    <w:p>
      <w:pPr>
        <w:pStyle w:val="Heading2"/>
      </w:pPr>
      <w:r>
        <w:t>Formalisierter Algorithmus senkt Nahtkomplikationen nach Abdominallauotomie durch Blutparameter und lokale Faktoren</w:t>
      </w:r>
    </w:p>
    <w:p>
      <w:r>
        <w:rPr>
          <w:i/>
          <w:color w:val="666666"/>
          <w:sz w:val="18"/>
        </w:rPr>
        <w:t>Paharev IV et al.  ·  Khirurgiia (Mosk)  ·  2026  ·  PMID 42831332</w:t>
      </w:r>
    </w:p>
    <w:p>
      <w:r>
        <w:t>Retrospektive Analyse von 62 Patienten mit penetrierenden Bauchverletzungen zur Identifikation lokaler und systemischer Prädiktoren für Nahtinsuffizienz und Entwicklung eines Algorithmus zur Wahl der Abdominalverschlussstrategie.</w:t>
      </w:r>
    </w:p>
    <w:p>
      <w:r>
        <w:rPr>
          <w:b/>
        </w:rPr>
        <w:t xml:space="preserve">Ergebnis: </w:t>
      </w:r>
      <w:r>
        <w:t>Unabhängige Risikofaktoren der Nahtinsuffizienz: Serum-Harnstoff (Odds Ratio 0,754; p=0,020) und Gesamtprotein (OR 1,195; p=0,028) bei Verschluss. Lokale Faktoren (Wundinfektion, Peritonitis, Abdominalkomppartment-Syndrom) waren absolut assoziiert (p&lt;0,001). Algorithmus zeigte 91,11 % prädiktiven Wert.</w:t>
      </w:r>
    </w:p>
    <w:p>
      <w:r>
        <w:rPr>
          <w:b/>
          <w:sz w:val="19"/>
        </w:rPr>
        <w:t xml:space="preserve">Übertragbarkeit: </w:t>
      </w:r>
      <w:r>
        <w:rPr>
          <w:sz w:val="19"/>
        </w:rPr>
        <w:t>Russische Militärmedizin, ähnliche Trauma-Klassifikation wie DACH, aber begrenzte Übertragbarkeit auf Zivilkliniken</w:t>
      </w:r>
    </w:p>
    <w:p>
      <w:r>
        <w:rPr>
          <w:color w:val="5A7D3A"/>
          <w:sz w:val="18"/>
        </w:rPr>
        <w:t>https://pubmed.ncbi.nlm.nih.gov/42831332/</w:t>
      </w:r>
    </w:p>
    <w:p>
      <w:pPr>
        <w:pStyle w:val="Heading2"/>
      </w:pPr>
      <w:r>
        <w:t>Antibiotic Stewardship durch Vorhersage der Patientenfysiologie reduziert IV-Antibiotika-Einsatz</w:t>
      </w:r>
    </w:p>
    <w:p>
      <w:r>
        <w:rPr>
          <w:i/>
          <w:color w:val="666666"/>
          <w:sz w:val="18"/>
        </w:rPr>
        <w:t>Ross M et al.  ·  Nat Commun  ·  25.08.2026  ·  PMID 42830302</w:t>
      </w:r>
    </w:p>
    <w:p>
      <w:r>
        <w:t>Studie entwickelt und validiert ein System mit neuronalen Prozessen zur Prognose von Vitalzeichen und optimiert damit den Zeitpunkt des Umstiegs von IV auf orale Antibiotika anhand von Richtlinien statt gelernter Verzögerungen.</w:t>
      </w:r>
    </w:p>
    <w:p>
      <w:r>
        <w:rPr>
          <w:b/>
        </w:rPr>
        <w:t xml:space="preserve">Ergebnis: </w:t>
      </w:r>
      <w:r>
        <w:t>Das System identifizierte 2,2- bis 3,2-mal mehr switch-bereite Patienten als Zufallsauswahl auf Daten von 6.333 US-Intensivpatienten und 10.584 UK-Klinikpatienten. Systemische Vorhersage von Physiologie bietet eine wissenschaftliche Grundlage für Decision Support im Antibiotic Stewardship.</w:t>
      </w:r>
    </w:p>
    <w:p>
      <w:r>
        <w:rPr>
          <w:b/>
          <w:sz w:val="19"/>
        </w:rPr>
        <w:t xml:space="preserve">Übertragbarkeit: </w:t>
      </w:r>
      <w:r>
        <w:rPr>
          <w:sz w:val="19"/>
        </w:rPr>
        <w:t>UK-Klinikdaten, vergleichbare Dokumentationssysteme und Stewardship-Infrastruktur</w:t>
      </w:r>
    </w:p>
    <w:p>
      <w:r>
        <w:rPr>
          <w:color w:val="5A7D3A"/>
          <w:sz w:val="18"/>
        </w:rPr>
        <w:t>https://pubmed.ncbi.nlm.nih.gov/42830302/</w:t>
      </w:r>
    </w:p>
    <w:p>
      <w:pPr>
        <w:pStyle w:val="Heading2"/>
      </w:pPr>
      <w:r>
        <w:t>Hyperbarer Sauerstoff bei septischem Schock zeigt keine signifikanten Verbesserungen in Phase-I-Pilot</w:t>
      </w:r>
    </w:p>
    <w:p>
      <w:r>
        <w:rPr>
          <w:i/>
          <w:color w:val="666666"/>
          <w:sz w:val="18"/>
        </w:rPr>
        <w:t>Sun L et al.  ·  Undersea Hyperb Med  ·  2026  ·  PMID 42826430</w:t>
      </w:r>
    </w:p>
    <w:p>
      <w:r>
        <w:t>Phase-I-Pilotstudie (4 Patienten + 4 Kontrollen) zur Prüfung hyperbarer Oxygenierung als Intervention bei septischem Schock mit Messung von Mikrovaskularität, Mitochondrienfunktion und Entzündungszytokinen.</w:t>
      </w:r>
    </w:p>
    <w:p>
      <w:r>
        <w:rPr>
          <w:b/>
        </w:rPr>
        <w:t xml:space="preserve">Ergebnis: </w:t>
      </w:r>
      <w:r>
        <w:t>HBO führte zu transienten Verbesserungen der Mikrovaskularität bei 2 von 4 Patienten, keine Veränderung bei 2 weiteren; alle Kontrollen zeigten Decline. Keine Unterschiede bei Mitochondrienfunktion oder Zytokinen. Keine unerwünschten Ereignisse. Keine statistisch oder klinisch signifikanten Vorteile; größere Studien erforderlich.</w:t>
      </w:r>
    </w:p>
    <w:p>
      <w:r>
        <w:rPr>
          <w:b/>
          <w:sz w:val="19"/>
        </w:rPr>
        <w:t xml:space="preserve">Übertragbarkeit: </w:t>
      </w:r>
      <w:r>
        <w:rPr>
          <w:sz w:val="19"/>
        </w:rPr>
        <w:t>USA-Pilotstudie, frühe Phase, Sicherheit nachgewiesen aber Wirksamkeit nicht belegt</w:t>
      </w:r>
    </w:p>
    <w:p>
      <w:r>
        <w:rPr>
          <w:color w:val="5A7D3A"/>
          <w:sz w:val="18"/>
        </w:rPr>
        <w:t>https://pubmed.ncbi.nlm.nih.gov/42826430/</w:t>
      </w:r>
    </w:p>
    <w:p>
      <w:pPr>
        <w:pStyle w:val="Heading1"/>
      </w:pPr>
      <w:r>
        <w:t>Aufgenommen am 05.10.2026</w:t>
      </w:r>
    </w:p>
    <w:p>
      <w:pPr>
        <w:pStyle w:val="Heading2"/>
      </w:pPr>
      <w:r>
        <w:t>FMEA-gestützte Massnahmen senkten Medikationsfehler um 49 Prozent</w:t>
      </w:r>
    </w:p>
    <w:p>
      <w:r>
        <w:rPr>
          <w:i/>
          <w:color w:val="666666"/>
          <w:sz w:val="18"/>
        </w:rPr>
        <w:t>Issatayeva N et al.  ·  Georgian Med News  ·  Juli 2026  ·  PMID 42830057</w:t>
      </w:r>
    </w:p>
    <w:p>
      <w:r>
        <w:t>FMEA-Analyse des Medikationsprozesses an einer kasachischen Universitätsklinik mit Umsetzung von Massnahmen wie elektronischer Verordnung, Ärzte-Selbstcheck und mobiler Medikamentenverifizierung.</w:t>
      </w:r>
    </w:p>
    <w:p>
      <w:r>
        <w:rPr>
          <w:b/>
        </w:rPr>
        <w:t xml:space="preserve">Ergebnis: </w:t>
      </w:r>
      <w:r>
        <w:t>Medikationsfehler sanken um 49 % innerhalb eines Jahres; RPN-Gesamtwert von 1990 auf 840 reduziert (57,8 %); Anteil vor Abgabe erkannter Fehler stieg von 30 % auf 70 %.</w:t>
      </w:r>
    </w:p>
    <w:p>
      <w:r>
        <w:rPr>
          <w:b/>
          <w:sz w:val="19"/>
        </w:rPr>
        <w:t xml:space="preserve">Übertragbarkeit: </w:t>
      </w:r>
      <w:r>
        <w:rPr>
          <w:sz w:val="19"/>
        </w:rPr>
        <w:t>Zentralasien mit vergleichbarem Versicherungssystem; Erkenntnisse für Kliniken in DACH-Ländern validierbar.</w:t>
      </w:r>
    </w:p>
    <w:p>
      <w:r>
        <w:rPr>
          <w:color w:val="5A7D3A"/>
          <w:sz w:val="18"/>
        </w:rPr>
        <w:t>https://pubmed.ncbi.nlm.nih.gov/42830057/</w:t>
      </w:r>
    </w:p>
    <w:p>
      <w:pPr>
        <w:pStyle w:val="Heading2"/>
      </w:pPr>
      <w:r>
        <w:t>Seltene Katastrophenfälle beeinflussen klinisches Handeln überproportional</w:t>
      </w:r>
    </w:p>
    <w:p>
      <w:r>
        <w:rPr>
          <w:i/>
          <w:color w:val="666666"/>
          <w:sz w:val="18"/>
        </w:rPr>
        <w:t>Ragusa A  ·  J Eval Clin Pract  ·  Okt. 2026  ·  PMID 42829970</w:t>
      </w:r>
    </w:p>
    <w:p>
      <w:r>
        <w:t>Konzeptionelle Analyse, wie extrem seltene unerwünschte Ergebnisse in der Geburtshilfe durch organisationales Gedächtnis, Kognition und Blame-Antizipation das Interventionsverhalten prägen.</w:t>
      </w:r>
    </w:p>
    <w:p>
      <w:r>
        <w:rPr>
          <w:b/>
        </w:rPr>
        <w:t xml:space="preserve">Ergebnis: </w:t>
      </w:r>
      <w:r>
        <w:t>Das Modell 'One-Per-Thousand Effect' zeigt: Isolierte Katastrophen senken Interventionsschwellen progressiv und erhöhen Eingriffe bei viel grösserer Population – auch wenn nur statistisch 1 von 1000 Patienten betroffen ist; unterscheidet proportionales Lernen von defensiver Anpassung.</w:t>
      </w:r>
    </w:p>
    <w:p>
      <w:r>
        <w:rPr>
          <w:b/>
          <w:sz w:val="19"/>
        </w:rPr>
        <w:t xml:space="preserve">Übertragbarkeit: </w:t>
      </w:r>
      <w:r>
        <w:rPr>
          <w:sz w:val="19"/>
        </w:rPr>
        <w:t>Italien (Geburtshilfe); qualitatives Modell für Deutschland übertragbar; betrifft auch deutsche Fehlermeldesysteme und Defensive Medicine.</w:t>
      </w:r>
    </w:p>
    <w:p>
      <w:r>
        <w:rPr>
          <w:color w:val="5A7D3A"/>
          <w:sz w:val="18"/>
        </w:rPr>
        <w:t>https://pubmed.ncbi.nlm.nih.gov/42829970/</w:t>
      </w:r>
    </w:p>
    <w:p>
      <w:pPr>
        <w:pStyle w:val="Heading2"/>
      </w:pPr>
      <w:r>
        <w:t>GLP-1-Agonisten senken Sepsis-Sterblichkeit gegenüber SGLT2-Hemmern um 19 Prozent</w:t>
      </w:r>
    </w:p>
    <w:p>
      <w:r>
        <w:rPr>
          <w:i/>
          <w:color w:val="666666"/>
          <w:sz w:val="18"/>
        </w:rPr>
        <w:t>Liu HH et al.  ·  Drug Des Devel Ther  ·  29.09.2026  ·  PMID 42829714</w:t>
      </w:r>
    </w:p>
    <w:p>
      <w:r>
        <w:t>Propensity-Score-gematchtche Kohortenstudie aus TriNetX-Netzwerk (USA): Typ-2-Diabetiker mit Sepsis, die vor Infektion GLP-1RA oder SGLT2i erhielten, auf 90-Tage-Mortalität und kardiovaskuläre Ereignisse.</w:t>
      </w:r>
    </w:p>
    <w:p>
      <w:r>
        <w:rPr>
          <w:b/>
        </w:rPr>
        <w:t xml:space="preserve">Ergebnis: </w:t>
      </w:r>
      <w:r>
        <w:t>90-Tage-Mortalität: GLP-1RA 48,6 vs. SGLT2i 60,6 pro 100 Patientenjahre (HR 0,81; 95%-KI 0,75–0,88); MACE: HR 0,77 (0,65–0,91); ICU-Aufnahme HR 0,89 (0,84–0,94); E-values 1,4–1,7 deuten auf residuales Confounding hin.</w:t>
      </w:r>
    </w:p>
    <w:p>
      <w:r>
        <w:rPr>
          <w:b/>
          <w:sz w:val="19"/>
        </w:rPr>
        <w:t xml:space="preserve">Übertragbarkeit: </w:t>
      </w:r>
      <w:r>
        <w:rPr>
          <w:sz w:val="19"/>
        </w:rPr>
        <w:t>USA; Hypothesengenerierung; E-values zeigen Confounding-Anfälligkeit; Bestätigung in prospektiven Studien nötig.</w:t>
      </w:r>
    </w:p>
    <w:p>
      <w:r>
        <w:rPr>
          <w:color w:val="5A7D3A"/>
          <w:sz w:val="18"/>
        </w:rPr>
        <w:t>https://pubmed.ncbi.nlm.nih.gov/42829714/</w:t>
      </w:r>
    </w:p>
    <w:p>
      <w:pPr>
        <w:pStyle w:val="Heading2"/>
      </w:pPr>
      <w:r>
        <w:t>Spülungsprotokolle senkten Infektionen nach Hirnschrittmacher-Implantation um 60 Prozent</w:t>
      </w:r>
    </w:p>
    <w:p>
      <w:r>
        <w:rPr>
          <w:i/>
          <w:color w:val="666666"/>
          <w:sz w:val="18"/>
        </w:rPr>
        <w:t>Liu B et al.  ·  Front Neurol  ·  18.09.2026  ·  PMID 42827959</w:t>
      </w:r>
    </w:p>
    <w:p>
      <w:r>
        <w:t>Retrospektive Kohortenstudie von 385 DBS-Operationen mit vier Spülungsgruppen (Kochsalz, Wasserstoffperoxid, Povidon-Iod, Kombination) zur Reduktion oberflächlicher Infektionen.</w:t>
      </w:r>
    </w:p>
    <w:p>
      <w:r>
        <w:rPr>
          <w:b/>
        </w:rPr>
        <w:t xml:space="preserve">Ergebnis: </w:t>
      </w:r>
      <w:r>
        <w:t>Infektionsrate Kochsalz 5,26 % gegenüber Interventionsgruppen 1,02–1,04 % (p=0,039); Wasserstoffperoxid und 0,5 % Povidon-Iod jeweils eine Infektion pro ~100 Eingriffe.</w:t>
      </w:r>
    </w:p>
    <w:p>
      <w:r>
        <w:rPr>
          <w:b/>
          <w:sz w:val="19"/>
        </w:rPr>
        <w:t xml:space="preserve">Übertragbarkeit: </w:t>
      </w:r>
      <w:r>
        <w:rPr>
          <w:sz w:val="19"/>
        </w:rPr>
        <w:t>China; Prinzip auf andere Operationen übertragbar; vergleichbare Versorgungsstrukturen.</w:t>
      </w:r>
    </w:p>
    <w:p>
      <w:r>
        <w:rPr>
          <w:color w:val="5A7D3A"/>
          <w:sz w:val="18"/>
        </w:rPr>
        <w:t>https://pubmed.ncbi.nlm.nih.gov/42827959/</w:t>
      </w:r>
    </w:p>
    <w:p>
      <w:pPr>
        <w:pStyle w:val="Heading2"/>
      </w:pPr>
      <w:r>
        <w:t>RED-EYE-AMSP-Modell für Antibiotic Stewardship in der Augenheilkunde</w:t>
      </w:r>
    </w:p>
    <w:p>
      <w:r>
        <w:rPr>
          <w:i/>
          <w:color w:val="666666"/>
          <w:sz w:val="18"/>
        </w:rPr>
        <w:t>Panda PK et al.  ·  Indian J Ophthalmol  ·  01.10.2026  ·  PMID 42826044</w:t>
      </w:r>
    </w:p>
    <w:p>
      <w:r>
        <w:t>Qualitative Perspektive zur Implementierung von Antibiotic Stewardship (AMS) in der Ophthalmologie; 10-Punkte-Modell für rationale Verschreibung, kulturgelenkte Therapie und Vermeidung von Resistenzentwicklung.</w:t>
      </w:r>
    </w:p>
    <w:p>
      <w:r>
        <w:rPr>
          <w:b/>
        </w:rPr>
        <w:t xml:space="preserve">Ergebnis: </w:t>
      </w:r>
      <w:r>
        <w:t>RED-EYE-AMSP benennt: rationale Verordnung ohne OTC-Tropfen, kulturgeleitete Therapie für therapieresistente Infektionen, aseptische Chirurgie, Audit antimikrobieller Nutzung; Fokus auf Fusarium/Candida-Resistenz und Pseudomonas-Fluorochinolon-Resistenz als Versorgungsproblem in LMIC.</w:t>
      </w:r>
    </w:p>
    <w:p>
      <w:r>
        <w:rPr>
          <w:b/>
          <w:sz w:val="19"/>
        </w:rPr>
        <w:t xml:space="preserve">Übertragbarkeit: </w:t>
      </w:r>
      <w:r>
        <w:rPr>
          <w:sz w:val="19"/>
        </w:rPr>
        <w:t>Indien, LMIC-spezifisch; Stewardship-Prinzipien für Deutsche Kliniken und Praxen anwendbar.</w:t>
      </w:r>
    </w:p>
    <w:p>
      <w:r>
        <w:rPr>
          <w:color w:val="5A7D3A"/>
          <w:sz w:val="18"/>
        </w:rPr>
        <w:t>https://pubmed.ncbi.nlm.nih.gov/42826044/</w:t>
      </w:r>
    </w:p>
    <w:p>
      <w:pPr>
        <w:pStyle w:val="Heading2"/>
      </w:pPr>
      <w:r>
        <w:t>Frühe iatroge Menopause erhöht kardiovaskuläre Sterblichkeit vor Alter 45</w:t>
      </w:r>
    </w:p>
    <w:p>
      <w:r>
        <w:rPr>
          <w:i/>
          <w:color w:val="666666"/>
          <w:sz w:val="18"/>
        </w:rPr>
        <w:t>Armeni E et al.  ·  JAMA Netw Open  ·  01.10.2026  ·  PMID 42826016</w:t>
      </w:r>
    </w:p>
    <w:p>
      <w:r>
        <w:t>Systematischer Review und Meta-Analyse von 36 Studien mit 2,6 Mio. Frauen zu kardiovaskulärer Morbidität und Mortalität nach iatrogener Menopause vs. Kontrollen, stratifiziert nach Menopause-Alter.</w:t>
      </w:r>
    </w:p>
    <w:p>
      <w:r>
        <w:rPr>
          <w:b/>
        </w:rPr>
        <w:t xml:space="preserve">Ergebnis: </w:t>
      </w:r>
      <w:r>
        <w:t>Iatrogene Menopause assoziiert mit erhöhtem Risiko für kardiovaskuläre Ereignisse (PHR 1,25; 95%-KI 1,12–1,39), koronare Herzkrankheit (1,48; 1,07–2,03) und Schlaganfall (1,22; 1,15–1,28); Sterblichkeitsexzess nur vor Alter 45 Jahren (kardiovaskulär PHR 1,20; 1,04–1,37), nicht danach.</w:t>
      </w:r>
    </w:p>
    <w:p>
      <w:r>
        <w:rPr>
          <w:b/>
          <w:sz w:val="19"/>
        </w:rPr>
        <w:t xml:space="preserve">Übertragbarkeit: </w:t>
      </w:r>
      <w:r>
        <w:rPr>
          <w:sz w:val="19"/>
        </w:rPr>
        <w:t>UK, Nordamerika, Australien; Design und Messverfahren auf Deutschland übertragbar.</w:t>
      </w:r>
    </w:p>
    <w:p>
      <w:r>
        <w:rPr>
          <w:color w:val="5A7D3A"/>
          <w:sz w:val="18"/>
        </w:rPr>
        <w:t>https://pubmed.ncbi.nlm.nih.gov/42826016/</w:t>
      </w:r>
    </w:p>
    <w:p>
      <w:pPr>
        <w:pStyle w:val="Heading1"/>
      </w:pPr>
      <w:r>
        <w:t>Aufgenommen am 04.10.2026</w:t>
      </w:r>
    </w:p>
    <w:p>
      <w:pPr>
        <w:pStyle w:val="Heading2"/>
      </w:pPr>
      <w:r>
        <w:t>Frühe Multimodaltherapie mit drei Vasopressoren senkt Laktat und verbessert Organfunktion bei Septischem Schock</w:t>
      </w:r>
    </w:p>
    <w:p>
      <w:r>
        <w:rPr>
          <w:i/>
          <w:color w:val="666666"/>
          <w:sz w:val="18"/>
        </w:rPr>
        <w:t>Kalamar Ž et al.  ·  Crit Care  ·  07.09.2026  ·  PMID 42827265</w:t>
      </w:r>
    </w:p>
    <w:p>
      <w:r>
        <w:t>Randomisierte Phase-II-Studie (TRICYCLE) mit 79 Patienten in Intensivstationen; Vergleich früher Gabe von Angiotensin II, Vasopressin und Noradrenalin (Interventionsgruppe) gegen schrittweise Eskalation (Kontrolle) bei septischem Schock.</w:t>
      </w:r>
    </w:p>
    <w:p>
      <w:r>
        <w:rPr>
          <w:b/>
        </w:rPr>
        <w:t xml:space="preserve">Ergebnis: </w:t>
      </w:r>
      <w:r>
        <w:t>Schnellerer Rückgang Plasma-Renin 2,61 %/h vs. 1,67 %/h (p=0,015), Laktat 1,53 %/h vs. 1,01 %/h (p=0,006) in den ersten 72 h. SOFA-Score Reduktion: −3 Punkte vs. 0 (p=0,018). Tachyarrhythmien signifikant seltener (15,6 % vs. 68,6 %, p&lt;0,01). ICU-Mortalität 26,3 % vs. 41,5 %, 28-Tage-Mortalität 36,8 % vs. 46,3 % (keine Signifikanz). Physiologische Marker verbessert, klinische Mortalität nicht signifikant reduziert.</w:t>
      </w:r>
    </w:p>
    <w:p>
      <w:r>
        <w:rPr>
          <w:b/>
          <w:sz w:val="19"/>
        </w:rPr>
        <w:t xml:space="preserve">Übertragbarkeit: </w:t>
      </w:r>
      <w:r>
        <w:rPr>
          <w:sz w:val="19"/>
        </w:rPr>
        <w:t>Slowenien und Kroatien, vergleichbare Intensivmedizin; Behandlungsbündel-Ansatz übertragbar</w:t>
      </w:r>
    </w:p>
    <w:p>
      <w:r>
        <w:rPr>
          <w:color w:val="5A7D3A"/>
          <w:sz w:val="18"/>
        </w:rPr>
        <w:t>https://pubmed.ncbi.nlm.nih.gov/42827265/</w:t>
      </w:r>
    </w:p>
    <w:p>
      <w:pPr>
        <w:pStyle w:val="Heading2"/>
      </w:pPr>
      <w:r>
        <w:t>Immunreaktionen unter Checkpoint-Inhibitoren vorhersagen Überlebensvorteil unabhängig vom Alter</w:t>
      </w:r>
    </w:p>
    <w:p>
      <w:r>
        <w:rPr>
          <w:i/>
          <w:color w:val="666666"/>
          <w:sz w:val="18"/>
        </w:rPr>
        <w:t>Agbarya A et al.  ·  Front Immunol  ·  17.09.2026  ·  PMID 42824450</w:t>
      </w:r>
    </w:p>
    <w:p>
      <w:r>
        <w:t>Retrospektive multizentrische Studie mit 452 älteren und jüngeren Patienten mit metastasiertem nicht-kleinzelligem Lungenkarzinom unter Checkpoint-Inhibitoren; Analyse, ob Immunnebenwirkungen (irAEs) mit Progression Free und Overall Survival korrelieren.</w:t>
      </w:r>
    </w:p>
    <w:p>
      <w:r>
        <w:rPr>
          <w:b/>
        </w:rPr>
        <w:t xml:space="preserve">Ergebnis: </w:t>
      </w:r>
      <w:r>
        <w:t>344 Patienten &lt;75 Jahre, 108 ≥75 Jahre. Patienten ≥75 Jahre häufiger &gt;2 verschiedene irAE-Typen. Median PFS 12,0 und OS 15,0 Monate gesamt; OS signifikant kürzer in Gruppe ≥75 Jahren (p=0,008). Auftreten irAEs assoziiert mit verbesserter PFS und OS in beiden Altersgruppen; höhere irAE-Last (&gt;2 Typen) numerisch länger mit Überleben assoziiert.</w:t>
      </w:r>
    </w:p>
    <w:p>
      <w:r>
        <w:rPr>
          <w:b/>
          <w:sz w:val="19"/>
        </w:rPr>
        <w:t xml:space="preserve">Übertragbarkeit: </w:t>
      </w:r>
      <w:r>
        <w:rPr>
          <w:sz w:val="19"/>
        </w:rPr>
        <w:t>Israel, prospektives Design; Immunverträglichkeit als Prognosemarker übertragbar</w:t>
      </w:r>
    </w:p>
    <w:p>
      <w:r>
        <w:rPr>
          <w:color w:val="5A7D3A"/>
          <w:sz w:val="18"/>
        </w:rPr>
        <w:t>https://pubmed.ncbi.nlm.nih.gov/42824450/</w:t>
      </w:r>
    </w:p>
    <w:p>
      <w:pPr>
        <w:pStyle w:val="Heading2"/>
      </w:pPr>
      <w:r>
        <w:t>Impffehlquoten durch Arbeitsüberlastung und prekäre Bedingungen in Primärversorgung</w:t>
      </w:r>
    </w:p>
    <w:p>
      <w:r>
        <w:rPr>
          <w:i/>
          <w:color w:val="666666"/>
          <w:sz w:val="18"/>
        </w:rPr>
        <w:t>Cirino FMSB et al.  ·  Rev Bras Enferm  ·  28.09.2026  ·  PMID 42820566</w:t>
      </w:r>
    </w:p>
    <w:p>
      <w:r>
        <w:t>Reflexive brasilianische Studie über Impffehlquoten in der Grundversorgung; kritische Analyse der Arbeitsbedingungen von Pflegefachpersonen und organisatorischer Faktoren jenseits individueller Verantwortung.</w:t>
      </w:r>
    </w:p>
    <w:p>
      <w:r>
        <w:rPr>
          <w:b/>
        </w:rPr>
        <w:t xml:space="preserve">Ergebnis: </w:t>
      </w:r>
      <w:r>
        <w:t>Impffehlquoten nicht auf technische oder individuelle Fehler reduzierbar, sondern Ausdruck von Burnout durch prekäre Arbeitsbedingungen, Überarbeitung und ungleicher Ressourcenverteilung. Systemischer Ansatz erforderlich: Stärkung von Autonomie, würdige Arbeitsbedingungen und kritische Reflexionsräume für Sicherheitskultur.</w:t>
      </w:r>
    </w:p>
    <w:p>
      <w:r>
        <w:rPr>
          <w:b/>
          <w:sz w:val="19"/>
        </w:rPr>
        <w:t xml:space="preserve">Übertragbarkeit: </w:t>
      </w:r>
      <w:r>
        <w:rPr>
          <w:sz w:val="19"/>
        </w:rPr>
        <w:t>Brasilien; Arbeitsschutz und Fehlerkultur in Primärversorgung prinzipiell übertragbar</w:t>
      </w:r>
    </w:p>
    <w:p>
      <w:r>
        <w:rPr>
          <w:color w:val="5A7D3A"/>
          <w:sz w:val="18"/>
        </w:rPr>
        <w:t>https://pubmed.ncbi.nlm.nih.gov/42820566/</w:t>
      </w:r>
    </w:p>
    <w:p>
      <w:pPr>
        <w:pStyle w:val="Heading2"/>
      </w:pPr>
      <w:r>
        <w:t>Zellfreie DNA und HLA-DR vorhersagen Sepsis-Mortalität besser als Standardscores</w:t>
      </w:r>
    </w:p>
    <w:p>
      <w:r>
        <w:rPr>
          <w:i/>
          <w:color w:val="666666"/>
          <w:sz w:val="18"/>
        </w:rPr>
        <w:t>Peng X et al.  ·  J Int Med Res  ·  30.09.2026  ·  PMID 42816759</w:t>
      </w:r>
    </w:p>
    <w:p>
      <w:r>
        <w:t>Prospektive chinesische Kohortenstudie mit 307 Sepsispatienten auf Intensivstationen; Messung von zellfreier DNA und monozyten-HLA-DR-Expression in den ersten 24 h und Vorhersagekraft für 28-Tage-Mortalität gegenüber etablierten Scores.</w:t>
      </w:r>
    </w:p>
    <w:p>
      <w:r>
        <w:rPr>
          <w:b/>
        </w:rPr>
        <w:t xml:space="preserve">Ergebnis: </w:t>
      </w:r>
      <w:r>
        <w:t>89 von 307 Patienten starben (28,99 %). Höhere zellfreie DNA und niedrigere mHLA-DR bei Verstorbenen. Kombiniertes Biomarker-Modell erhöhte AUC von 0,79 auf 0,88 (gegenüber klinischem Basis-Modell). Net Reclassification Improvement und Integrated Discrimination Improvement signifikant positiv. Interne Validierung bestätigt. Externe Validierung erforderlich.</w:t>
      </w:r>
    </w:p>
    <w:p>
      <w:r>
        <w:rPr>
          <w:b/>
          <w:sz w:val="19"/>
        </w:rPr>
        <w:t xml:space="preserve">Übertragbarkeit: </w:t>
      </w:r>
      <w:r>
        <w:rPr>
          <w:sz w:val="19"/>
        </w:rPr>
        <w:t>China, prospektives Design; Biomarkerkombinatoren für Risikostratifikation übertragbar</w:t>
      </w:r>
    </w:p>
    <w:p>
      <w:r>
        <w:rPr>
          <w:color w:val="5A7D3A"/>
          <w:sz w:val="18"/>
        </w:rPr>
        <w:t>https://pubmed.ncbi.nlm.nih.gov/42816759/</w:t>
      </w:r>
    </w:p>
    <w:p>
      <w:pPr>
        <w:pStyle w:val="Heading2"/>
      </w:pPr>
      <w:r>
        <w:t>Angemessene Antibiotikaauswahl reduziert unerwünschte Ereignisse bei COPD-Exazerbation um 41 %</w:t>
      </w:r>
    </w:p>
    <w:p>
      <w:r>
        <w:rPr>
          <w:i/>
          <w:color w:val="666666"/>
          <w:sz w:val="18"/>
        </w:rPr>
        <w:t>Perales-Muñoz R et al.  ·  Rev Esp Quimioter  ·  21.09.2026  ·  PMID 42768888</w:t>
      </w:r>
    </w:p>
    <w:p>
      <w:r>
        <w:t>Spanische Multizenterstudie an 4.136 Patienten mit akuter COPD-Exazerbation in Notfallaufnahmen; Auswertung, ob die Wahl des Antibiotikums nach nationalen Leitlinien mit 30-Tage-Ergebnissen (Rückfall, Wiederaufnahme, Tod) assoziiert ist.</w:t>
      </w:r>
    </w:p>
    <w:p>
      <w:r>
        <w:rPr>
          <w:b/>
        </w:rPr>
        <w:t xml:space="preserve">Ergebnis: </w:t>
      </w:r>
      <w:r>
        <w:t>56,9 % der aus der Notaufnahme entlassenen Patienten erhielten Antibiotika, 16,0 % inadäquat. Unerwünschte Ereignisse bei inadäquater Therapie 20,9 % vs. 13,3 % (p=0,019); adjustierte Risikoreduktion durch angemessene Auswahl: RR 0,59 (95%-CI 0,41–0,85, p=0,004). Einziger beeinflussbarer Faktor mit unabhängiger Schutzwirkung.</w:t>
      </w:r>
    </w:p>
    <w:p>
      <w:r>
        <w:rPr>
          <w:b/>
          <w:sz w:val="19"/>
        </w:rPr>
        <w:t xml:space="preserve">Übertragbarkeit: </w:t>
      </w:r>
      <w:r>
        <w:rPr>
          <w:sz w:val="19"/>
        </w:rPr>
        <w:t>Spanien, vergleichbare Notaufnahmesysteme; Leitlinienkonformität als Qualitätsindikator übertragbar</w:t>
      </w:r>
    </w:p>
    <w:p>
      <w:r>
        <w:rPr>
          <w:color w:val="5A7D3A"/>
          <w:sz w:val="18"/>
        </w:rPr>
        <w:t>https://pubmed.ncbi.nlm.nih.gov/42768888/</w:t>
      </w:r>
    </w:p>
    <w:p>
      <w:pPr>
        <w:pStyle w:val="Heading2"/>
      </w:pPr>
      <w:r>
        <w:t>Serratia-Bakteriämie: Stabile Inzidenz, 24 % Mortalität, Wirtsmerkmale bestimmen Ausgang</w:t>
      </w:r>
    </w:p>
    <w:p>
      <w:r>
        <w:rPr>
          <w:i/>
          <w:color w:val="666666"/>
          <w:sz w:val="18"/>
        </w:rPr>
        <w:t>Thiele IM et al.  ·  APMIS  ·  Aug. 2026  ·  PMID 42635016</w:t>
      </w:r>
    </w:p>
    <w:p>
      <w:r>
        <w:t>Populationsbasierte dänische Kohortenstudie (2010–2024) mit 188 Patienten mit Serratia-Bakteriämie; Erfassung klinischer Charakteristika, Infektfokus und 30-Tage-Mortalität nach Art der Akquisition (ambulant, healthcare-assoziiert, nosokomial).</w:t>
      </w:r>
    </w:p>
    <w:p>
      <w:r>
        <w:rPr>
          <w:b/>
        </w:rPr>
        <w:t xml:space="preserve">Ergebnis: </w:t>
      </w:r>
      <w:r>
        <w:t>Stabile jährliche Inzidenz 2,1/100.000 Personenjahre (95%-CI 1,8–2,5). Gemeinschaftserworben 38 %, nosokomial 37 %, Fokus Harnweg 25 %, Gallenwege 20 %, keine Fokusidentifikation 28 %. 30-Tage-Mortalität 24 %. Höheres Alter (RR 1,02 pro Jahr) und hoher Comorbidity-Index (RR 2,58, 95%-CI 1,01–6,63) mit erhöhter Mortalität assoziiert; Akquisitionsart nicht signifikant.</w:t>
      </w:r>
    </w:p>
    <w:p>
      <w:r>
        <w:rPr>
          <w:b/>
          <w:sz w:val="19"/>
        </w:rPr>
        <w:t xml:space="preserve">Übertragbarkeit: </w:t>
      </w:r>
      <w:r>
        <w:rPr>
          <w:sz w:val="19"/>
        </w:rPr>
        <w:t>Dänemark, Meldepflicht und Entschädigung ohne Verschuldensnachweis; Epidemiologie nicht direkt mit Deutschland vergleichbar</w:t>
      </w:r>
    </w:p>
    <w:p>
      <w:r>
        <w:rPr>
          <w:color w:val="5A7D3A"/>
          <w:sz w:val="18"/>
        </w:rPr>
        <w:t>https://pubmed.ncbi.nlm.nih.gov/42635016/</w:t>
      </w:r>
    </w:p>
    <w:p>
      <w:pPr>
        <w:pStyle w:val="Heading1"/>
      </w:pPr>
      <w:r>
        <w:t>Aufgenommen am 03.10.2026</w:t>
      </w:r>
    </w:p>
    <w:p>
      <w:pPr>
        <w:pStyle w:val="Heading2"/>
      </w:pPr>
      <w:r>
        <w:t>Strukturierte Intervention senkte 72-Stunden-Wiederaufnahmen bei Sepsis um 0,00112 pro Patient pro Monat</w:t>
      </w:r>
    </w:p>
    <w:p>
      <w:r>
        <w:rPr>
          <w:i/>
          <w:color w:val="666666"/>
          <w:sz w:val="18"/>
        </w:rPr>
        <w:t>Burns R et al.  ·  South Med J  ·  02.10.2026  ·  PMID 42826397</w:t>
      </w:r>
    </w:p>
    <w:p>
      <w:r>
        <w:t>Retrospektive Kohortenstudie mit unterbrochener Zeitreihenanalyse: Auswirkung einer Interventionsmaßnahme auf 72-Stunden-Wiederaufnahmen von Patienten mit Sepsis oder Pyelonephritis in einer US-amerikanischen Notaufnahme (2020–2023).</w:t>
      </w:r>
    </w:p>
    <w:p>
      <w:r>
        <w:rPr>
          <w:b/>
        </w:rPr>
        <w:t xml:space="preserve">Ergebnis: </w:t>
      </w:r>
      <w:r>
        <w:t>Von 39.818 Patienten hatten 4.907 (12,3 %) 72-Stunden-Wiederaufnahmen. Vor Intervention: Anstieg um 0,00054 pro Aufnahme pro Monat (p=0,30). Nach Interventionsimplementierung am 4. Mai 2021 sofortiger Rückgang um 0,0017 (p=0,75), dann nachhaltiger Rückgang um 0,00112 pro Aufnahme pro Monat (p=0,04). Für Sepsis spezifisch: nachhaltiger Rückgang von 0,0033 pro Aufnahme pro Monat (p=0,02). Intervention war mit nachhaltiger Reduktion der Wiederaufnahmen assoziiert.</w:t>
      </w:r>
    </w:p>
    <w:p>
      <w:r>
        <w:rPr>
          <w:b/>
          <w:sz w:val="19"/>
        </w:rPr>
        <w:t xml:space="preserve">Übertragbarkeit: </w:t>
      </w:r>
      <w:r>
        <w:rPr>
          <w:sz w:val="19"/>
        </w:rPr>
        <w:t>USA, Wiederaufnahme-Messung übertragbar, Interventionsdetails fehlen</w:t>
      </w:r>
    </w:p>
    <w:p>
      <w:r>
        <w:rPr>
          <w:color w:val="5A7D3A"/>
          <w:sz w:val="18"/>
        </w:rPr>
        <w:t>https://pubmed.ncbi.nlm.nih.gov/42826397/</w:t>
      </w:r>
    </w:p>
    <w:p>
      <w:pPr>
        <w:pStyle w:val="Heading2"/>
      </w:pPr>
      <w:r>
        <w:t>Antibiotic Stewardship bei geschlossenen Gesichtsfrakturen reduziert Schaden ohne Infektionsschutz</w:t>
      </w:r>
    </w:p>
    <w:p>
      <w:r>
        <w:rPr>
          <w:i/>
          <w:color w:val="666666"/>
          <w:sz w:val="18"/>
        </w:rPr>
        <w:t>Isaac JI et al.  ·  South Med J  ·  02.10.2026  ·  PMID 42826395</w:t>
      </w:r>
    </w:p>
    <w:p>
      <w:r>
        <w:t>Systematische Übersicht von sieben US-amerikanischen Studien mit 3.274 Patienten zu prophylaktischen Antibiotika bei nicht-operativ behandelten Gesichtsfrakturen: Frakturen-assoziierte Infektionsrate 1,0 %, ohne Nutzen der Antibiotikaprophylaxe.</w:t>
      </w:r>
    </w:p>
    <w:p>
      <w:r>
        <w:rPr>
          <w:b/>
        </w:rPr>
        <w:t xml:space="preserve">Ergebnis: </w:t>
      </w:r>
      <w:r>
        <w:t>Infektionsraten waren niedrig (1,0 % in der größten prospektiven Kohortenstudie) und wurden durch Prophylaxe nicht gesenkt (angepasstes Odds Ratio 1,24–1,32). Längere Antibiotikaexposition war mit isolierten Fällen von Clostridioides-difficile-Kolitis assoziiert. Verfügbare Evidenz unterstützt keine routinemäßige Prophylaxe für unkomplizierte, nicht-operative Gesichtsfrakturen.</w:t>
      </w:r>
    </w:p>
    <w:p>
      <w:r>
        <w:rPr>
          <w:b/>
          <w:sz w:val="19"/>
        </w:rPr>
        <w:t xml:space="preserve">Übertragbarkeit: </w:t>
      </w:r>
      <w:r>
        <w:rPr>
          <w:sz w:val="19"/>
        </w:rPr>
        <w:t>USA-Daten, Prinzip aber übertragbar: vermeidbarer Schaden durch unnötige Antibiotikaexposition</w:t>
      </w:r>
    </w:p>
    <w:p>
      <w:r>
        <w:rPr>
          <w:color w:val="5A7D3A"/>
          <w:sz w:val="18"/>
        </w:rPr>
        <w:t>https://pubmed.ncbi.nlm.nih.gov/42826395/</w:t>
      </w:r>
    </w:p>
    <w:p>
      <w:pPr>
        <w:pStyle w:val="Heading2"/>
      </w:pPr>
      <w:r>
        <w:t>Hochantibiotika-Exposition bei niedriger Sepsis-Inzidenz in Neugeborenen-Intensivstationen Ungarns</w:t>
      </w:r>
    </w:p>
    <w:p>
      <w:r>
        <w:rPr>
          <w:i/>
          <w:color w:val="666666"/>
          <w:sz w:val="18"/>
        </w:rPr>
        <w:t>Mari J et al.  ·  Eur J Pediatr  ·  02.10.2026  ·  PMID 42825830</w:t>
      </w:r>
    </w:p>
    <w:p>
      <w:r>
        <w:t>Nationale Registry-Analyse der Antibiotika-Exposition bei Neugeborenen mit früher Sepsis in Ungarn (2020–2023): 0,41 Fälle pro 1.000 Lebendgeburten, aber 63,9 % aller auf Intensivstationen behandelten Neugeborenen erhielten Antibiotika.</w:t>
      </w:r>
    </w:p>
    <w:p>
      <w:r>
        <w:rPr>
          <w:b/>
        </w:rPr>
        <w:t xml:space="preserve">Ergebnis: </w:t>
      </w:r>
      <w:r>
        <w:t>Die Inzidenz der kultivierten early-onset sepsis (CP-EOS) betrug 0,41 pro 1.000 Lebendgeburten (0,20 bei ≥35 Wochen, 7,0 bei &lt;35 Wochen). Trotzdem erhalten 63,9 % der NICU-Neugeborenen Antibiotika im Median 5 (3–8) Tage. Ein Minimum von 3,2 % aller Neugeborenen Ungarns erhielten Antibiotika, und 15,6 % der Blutkulturen zeigten keine nachfolgende Antibiotikabehandlung. Die Studie dokumentiert unnötig hohe Antibiotika-Exposition bei geringer sepsis-Inzidenz und fordert Strategien zur Reduktion.</w:t>
      </w:r>
    </w:p>
    <w:p>
      <w:r>
        <w:rPr>
          <w:b/>
          <w:sz w:val="19"/>
        </w:rPr>
        <w:t xml:space="preserve">Übertragbarkeit: </w:t>
      </w:r>
      <w:r>
        <w:rPr>
          <w:sz w:val="19"/>
        </w:rPr>
        <w:t>Europäische Daten, vergleichbare neonatale Intensivmedizin, Antibiotic Stewardship-relevanz</w:t>
      </w:r>
    </w:p>
    <w:p>
      <w:r>
        <w:rPr>
          <w:color w:val="5A7D3A"/>
          <w:sz w:val="18"/>
        </w:rPr>
        <w:t>https://pubmed.ncbi.nlm.nih.gov/42825830/</w:t>
      </w:r>
    </w:p>
    <w:p>
      <w:pPr>
        <w:pStyle w:val="Heading2"/>
      </w:pPr>
      <w:r>
        <w:t>Sichere Praktiken in der intravenösen Arzneimitteltherapie: Asepsis, Labeling und Dokumentation verhindern Fehler</w:t>
      </w:r>
    </w:p>
    <w:p>
      <w:r>
        <w:rPr>
          <w:i/>
          <w:color w:val="666666"/>
          <w:sz w:val="18"/>
        </w:rPr>
        <w:t>Rocha HDSD et al.  ·  Rev Bras Enferm  ·  28.09.2026  ·  PMID 42820560</w:t>
      </w:r>
    </w:p>
    <w:p>
      <w:r>
        <w:t>Scoping Review nach JBI über sichere Praktiken bei intravenöser Arzneimitteltherapie bei hospitalisierten Erwachsenen: Analyse von 18 Studien zu Asepsis, Vorbereitung, Kennzeichnung, Applikation und Dokumentation.</w:t>
      </w:r>
    </w:p>
    <w:p>
      <w:r>
        <w:rPr>
          <w:b/>
        </w:rPr>
        <w:t xml:space="preserve">Ergebnis: </w:t>
      </w:r>
      <w:r>
        <w:t>Identifizierte sichere Praktiken während intravenöser Arzneimitteltherapie: Händehygiene, Doppelcheck, Medikamenten- und Patientenidentifikation, Prüfung der Zugangspermeabilität, Dokumentation der Verabreichung und Nebenwirkungen. Diese fünf Stufen (Aseptik, Vorbereitung, Labeling, Applikation, Dokumentation) werden als grundlegend für die Sicherheit hospitalisierter Patienten beschrieben.</w:t>
      </w:r>
    </w:p>
    <w:p>
      <w:r>
        <w:rPr>
          <w:b/>
          <w:sz w:val="19"/>
        </w:rPr>
        <w:t xml:space="preserve">Übertragbarkeit: </w:t>
      </w:r>
      <w:r>
        <w:rPr>
          <w:sz w:val="19"/>
        </w:rPr>
        <w:t>Brasilien, aber internationale Best-Practice-Synthese, direkt auf Deutschland übertragbar</w:t>
      </w:r>
    </w:p>
    <w:p>
      <w:r>
        <w:rPr>
          <w:color w:val="5A7D3A"/>
          <w:sz w:val="18"/>
        </w:rPr>
        <w:t>https://pubmed.ncbi.nlm.nih.gov/42820560/</w:t>
      </w:r>
    </w:p>
    <w:p>
      <w:pPr>
        <w:pStyle w:val="Heading2"/>
      </w:pPr>
      <w:r>
        <w:t>Candida-auris-Ausbruch mit Echinocandin-Resistenz in der Türkei dokumentiert Übertragungsdynamik</w:t>
      </w:r>
    </w:p>
    <w:p>
      <w:r>
        <w:rPr>
          <w:i/>
          <w:color w:val="666666"/>
          <w:sz w:val="18"/>
        </w:rPr>
        <w:t>Spruijtenburg B et al.  ·  Int J Infect Dis  ·  14.08.2026  ·  PMID 42600976</w:t>
      </w:r>
    </w:p>
    <w:p>
      <w:r>
        <w:t>Retrospektive Analyse eines C.-auris-Ausbruchs in einem türkischen Tertiärzentrum (April 2023 – September 2025): 119 Patienten mit Blutstrominfektion, Genotypisierung zeigte Ausbreitung eines Einzelstamms über 21 Stationen ohne Neueinschleppung.</w:t>
      </w:r>
    </w:p>
    <w:p>
      <w:r>
        <w:rPr>
          <w:b/>
        </w:rPr>
        <w:t xml:space="preserve">Ergebnis: </w:t>
      </w:r>
      <w:r>
        <w:t>119 Patienten mit C.-auris-Blutstrominfektion, 30-Tage-Mortalität 54 %. Alle Isolate waren Fluconazol-resistent; zwei Patienten mit vorheriger Echinocandin-Exposition hatten Echinocandin-resistente Isolate (FKS1S639P). Genotypisierung zeigte Clade I mit drei eng verwandten Genotypen; epidemiologische Rückverfolgung und molekulares Typing zeigten, dass ein Ausbruchspatient die Quelle war und sich der Stamm ohne weitere Einschleppungen über mehrere Stationen ausbreitete. Erkannte Übertragungsdynamik unterstreicht Notwendigkeit stärkerer Infektionsprävention.</w:t>
      </w:r>
    </w:p>
    <w:p>
      <w:r>
        <w:rPr>
          <w:b/>
          <w:sz w:val="19"/>
        </w:rPr>
        <w:t xml:space="preserve">Übertragbarkeit: </w:t>
      </w:r>
      <w:r>
        <w:rPr>
          <w:sz w:val="19"/>
        </w:rPr>
        <w:t>Türkei (Europa), Ausbruch-Management relevant, Meldepflichten unterscheiden sich</w:t>
      </w:r>
    </w:p>
    <w:p>
      <w:r>
        <w:rPr>
          <w:color w:val="5A7D3A"/>
          <w:sz w:val="18"/>
        </w:rPr>
        <w:t>https://pubmed.ncbi.nlm.nih.gov/42600976/</w:t>
      </w:r>
    </w:p>
    <w:p>
      <w:pPr>
        <w:pStyle w:val="Heading1"/>
      </w:pPr>
      <w:r>
        <w:t>Aufgenommen am 02.10.2026</w:t>
      </w:r>
    </w:p>
    <w:p>
      <w:pPr>
        <w:pStyle w:val="Heading2"/>
      </w:pPr>
      <w:r>
        <w:t>Dediziertes Wechsel-Team senkte Dekubitalulzera auf Intensivstationen um 42 Prozent</w:t>
      </w:r>
    </w:p>
    <w:p>
      <w:r>
        <w:rPr>
          <w:i/>
          <w:color w:val="666666"/>
          <w:sz w:val="18"/>
        </w:rPr>
        <w:t>Tapper GM et al.  ·  Dimens Crit Care Nurs  ·  30.09.2026  ·  PMID 42821859</w:t>
      </w:r>
    </w:p>
    <w:p>
      <w:r>
        <w:t>24-Bett-Herzintensivstation führte nichtmedizinisches Team zur regelmäßigen Patientenumlagerung und Mobilisierung ein; untersucht wurde Effekt auf nosokomiale Druckgeschwüre vor und nach Intervention bei unkontrolliert vielen Patientenaufnahmen.</w:t>
      </w:r>
    </w:p>
    <w:p>
      <w:r>
        <w:rPr>
          <w:b/>
        </w:rPr>
        <w:t xml:space="preserve">Ergebnis: </w:t>
      </w:r>
      <w:r>
        <w:t>Dekubitusrate sank um 42% (p=0,043). Nach Adjustment für Tagesbelegung sank das tägliche Risiko von 6,74% auf 4,03% (adjustierte OR 0,581; 95%-KI 0,33-1,02; p=0,059). Pflegekräfte bewerteten Teamzusammenarbeit und Produktivitätssteigerung positiv in Umfragen.</w:t>
      </w:r>
    </w:p>
    <w:p>
      <w:r>
        <w:rPr>
          <w:b/>
          <w:sz w:val="19"/>
        </w:rPr>
        <w:t xml:space="preserve">Übertragbarkeit: </w:t>
      </w:r>
      <w:r>
        <w:rPr>
          <w:sz w:val="19"/>
        </w:rPr>
        <w:t>USA (Cleveland Clinic Abu Dhabi); Organisationsmodell ist systemunabhängig übertragbar</w:t>
      </w:r>
    </w:p>
    <w:p>
      <w:r>
        <w:rPr>
          <w:color w:val="5A7D3A"/>
          <w:sz w:val="18"/>
        </w:rPr>
        <w:t>https://pubmed.ncbi.nlm.nih.gov/42821859/</w:t>
      </w:r>
    </w:p>
    <w:p>
      <w:pPr>
        <w:pStyle w:val="Heading2"/>
      </w:pPr>
      <w:r>
        <w:t>Entzündungs-Ernährungs-Index am dritten postoperativen Tag sagt Wundkomplikationen voraus</w:t>
      </w:r>
    </w:p>
    <w:p>
      <w:r>
        <w:rPr>
          <w:i/>
          <w:color w:val="666666"/>
          <w:sz w:val="18"/>
        </w:rPr>
        <w:t>Gönüllü ME et al.  ·  Langenbecks Arch Surg  ·  01.09.2026  ·  PMID 42821143</w:t>
      </w:r>
    </w:p>
    <w:p>
      <w:r>
        <w:t>Retrospektive Beobachtungsstudie in zwei türkischen Chirurgiefachbereichen mit 86 Patienten (Januar 2020–Dezember 2025) evaluierte einen neuen Wound Inflammation-Nutrition Index (WINA) und dessen Änderung zwischen postoperativem Tag 1 und 3 (ΔWINA) zur Vorhersage von Wundkomplikationen.</w:t>
      </w:r>
    </w:p>
    <w:p>
      <w:r>
        <w:rPr>
          <w:b/>
        </w:rPr>
        <w:t xml:space="preserve">Ergebnis: </w:t>
      </w:r>
      <w:r>
        <w:t>27,9% (n=24) entwickelten Wundkomplikationen. WINA-Werte an POD1/POD3 und ΔWINA waren bei Komplikationen höher (alle p&lt;0,001). ΔWINA pro 100-Unit-Steigerung: adjustierte OR 2,12 (95%-KI 1,44–3,13; p=0,001). ΔWINA erreichte AUC 0,872 (95%-KI 0,789–0,941) mit 83,3% Sensitivität, 80,6% Spezifität.</w:t>
      </w:r>
    </w:p>
    <w:p>
      <w:r>
        <w:rPr>
          <w:b/>
          <w:sz w:val="19"/>
        </w:rPr>
        <w:t xml:space="preserve">Übertragbarkeit: </w:t>
      </w:r>
      <w:r>
        <w:rPr>
          <w:sz w:val="19"/>
        </w:rPr>
        <w:t>Türkei, europäisch angrenzend; Entzündungsmarker sind in Deutschland routinemäßig verfügbar</w:t>
      </w:r>
    </w:p>
    <w:p>
      <w:r>
        <w:rPr>
          <w:color w:val="5A7D3A"/>
          <w:sz w:val="18"/>
        </w:rPr>
        <w:t>https://pubmed.ncbi.nlm.nih.gov/42821143/</w:t>
      </w:r>
    </w:p>
    <w:p>
      <w:pPr>
        <w:pStyle w:val="Heading2"/>
      </w:pPr>
      <w:r>
        <w:t>Carbapenem-Audit veränderte Gram-negative Resistenzmuster, aber mit Ausweicheffekten</w:t>
      </w:r>
    </w:p>
    <w:p>
      <w:r>
        <w:rPr>
          <w:i/>
          <w:color w:val="666666"/>
          <w:sz w:val="18"/>
        </w:rPr>
        <w:t>Keshavarzi F et al.  ·  Arch Microbiol  ·  01.10.2026  ·  PMID 42821075</w:t>
      </w:r>
    </w:p>
    <w:p>
      <w:r>
        <w:t>Malaysisches Uniklinikum untersuchte 6 Jahre (2015-2020), wie ein Post-Prescription-Audit für Carbapeneme die Anfälligkeit von sieben Gram-negativen Erregern verändert; Analyse mittels unterbrochener Zeitreihen und ARIMA-Modellierung.</w:t>
      </w:r>
    </w:p>
    <w:p>
      <w:r>
        <w:rPr>
          <w:b/>
        </w:rPr>
        <w:t xml:space="preserve">Ergebnis: </w:t>
      </w:r>
      <w:r>
        <w:t>Audit war mit erregerspezifischen Trend-Umkehrungen verbunden. Proteus mirabilis-Imipenem-Empfindlichkeit erholte sich (β=9,465; p=0,005). Klebsiella pneumoniae und Pseudomonas aeruginosa zeigten Abwärts-Trend-Umkehrungen trotz steigender Baselines. Ökologische Verschiebungen auf Fluoroquinolone und β-Laktam/β-Laktamase-Inhibitoren traten auf (P. mirabilis Amoxicillin-Clavulanat β=−43,023; p=0,024).</w:t>
      </w:r>
    </w:p>
    <w:p>
      <w:r>
        <w:rPr>
          <w:b/>
          <w:sz w:val="19"/>
        </w:rPr>
        <w:t xml:space="preserve">Übertragbarkeit: </w:t>
      </w:r>
      <w:r>
        <w:rPr>
          <w:sz w:val="19"/>
        </w:rPr>
        <w:t>Malaysia, vergleichbar mit deutschen Stewardship-Audits; zeigt Grenzen und Verschiebungsrisiken</w:t>
      </w:r>
    </w:p>
    <w:p>
      <w:r>
        <w:rPr>
          <w:color w:val="5A7D3A"/>
          <w:sz w:val="18"/>
        </w:rPr>
        <w:t>https://pubmed.ncbi.nlm.nih.gov/42821075/</w:t>
      </w:r>
    </w:p>
    <w:p>
      <w:pPr>
        <w:pStyle w:val="Heading2"/>
      </w:pPr>
      <w:r>
        <w:t>Digitale Automatisierung klinischer Pfade erhöhte Adherence an Protokolle um 63 Prozent</w:t>
      </w:r>
    </w:p>
    <w:p>
      <w:r>
        <w:rPr>
          <w:i/>
          <w:color w:val="666666"/>
          <w:sz w:val="18"/>
        </w:rPr>
        <w:t>Eduardo AA et al.  ·  Einstein (Sao Paulo)  ·  25.09.2026  ·  PMID 42820545</w:t>
      </w:r>
    </w:p>
    <w:p>
      <w:r>
        <w:t>Brasilianisches Universitätskrankenhaus implementierte ein Clinical-Decision-Support-System für Adipositas-Primärversorgung; Vergleich Labortestbestellmuster vor (2023) und nach (2024) Automatisierung bei Hunderten von Besuchen.</w:t>
      </w:r>
    </w:p>
    <w:p>
      <w:r>
        <w:rPr>
          <w:b/>
        </w:rPr>
        <w:t xml:space="preserve">Ergebnis: </w:t>
      </w:r>
      <w:r>
        <w:t>Adherente Tests stiegen um 63% (IRR 1,63; 95%-KI 1,37–1,96; p&lt;0,001). Median adherente Tests pro Besuch: vorher 1,0, nachher 3,0 (p=0,027). Perplexity sank von 70,9 auf 57,6, zeigend konzentriertere Testbestellungen auf Protokollgrundlage. Von den Top-10 Wachstumstests waren 9/10 protokollbasiert.</w:t>
      </w:r>
    </w:p>
    <w:p>
      <w:r>
        <w:rPr>
          <w:b/>
          <w:sz w:val="19"/>
        </w:rPr>
        <w:t xml:space="preserve">Übertragbarkeit: </w:t>
      </w:r>
      <w:r>
        <w:rPr>
          <w:sz w:val="19"/>
        </w:rPr>
        <w:t>Brasilien, Sozialversicherung; digitale Steuerung von Diagnostik ist in Deutschland relevant</w:t>
      </w:r>
    </w:p>
    <w:p>
      <w:r>
        <w:rPr>
          <w:color w:val="5A7D3A"/>
          <w:sz w:val="18"/>
        </w:rPr>
        <w:t>https://pubmed.ncbi.nlm.nih.gov/42820545/</w:t>
      </w:r>
    </w:p>
    <w:p>
      <w:pPr>
        <w:pStyle w:val="Heading2"/>
      </w:pPr>
      <w:r>
        <w:t>Laboroptimierung senkte Sterblichkeit bei Blutstrominfektion um 17 Prozent</w:t>
      </w:r>
    </w:p>
    <w:p>
      <w:r>
        <w:rPr>
          <w:i/>
          <w:color w:val="666666"/>
          <w:sz w:val="18"/>
        </w:rPr>
        <w:t>Shao J et al.  ·  Front Cell Infect Microbiol  ·  16.09.2026  ·  PMID 42819223</w:t>
      </w:r>
    </w:p>
    <w:p>
      <w:r>
        <w:t>Zehn Krankenhäuser in China optimierten ihre Blutkultur-Laborabläufe durch 24/7-Bearbeitung, schnelle MALDI-TOF-Massenspektrometrie und parallele Antibiogramme; untersucht wurden Auswirkungen auf Sterblichkeit, Kosten und Antibiotikagebrauch bei 1826 Patienten mit Sepsis.</w:t>
      </w:r>
    </w:p>
    <w:p>
      <w:r>
        <w:rPr>
          <w:b/>
        </w:rPr>
        <w:t xml:space="preserve">Ergebnis: </w:t>
      </w:r>
      <w:r>
        <w:t>In-Hospital-Mortalität sank von 19,5% auf 13,1% (p=0,002). Zeiten bis zur Erregererkennung wurden um 11-18,5 Stunden verkürzt. Gesamtkrankenhauskosten sanken signifikant (p=0,003), Antibiotikaausgaben nach statistischer Adjustment um p&lt;0,001. Längenaufenthalt und Laborkosten zeigten keine signifikanten Unterschiede.</w:t>
      </w:r>
    </w:p>
    <w:p>
      <w:r>
        <w:rPr>
          <w:b/>
          <w:sz w:val="19"/>
        </w:rPr>
        <w:t xml:space="preserve">Übertragbarkeit: </w:t>
      </w:r>
      <w:r>
        <w:rPr>
          <w:sz w:val="19"/>
        </w:rPr>
        <w:t>China, vergleichbare Laborstruktur; Methode auf deutsches System übertragbar</w:t>
      </w:r>
    </w:p>
    <w:p>
      <w:r>
        <w:rPr>
          <w:color w:val="5A7D3A"/>
          <w:sz w:val="18"/>
        </w:rPr>
        <w:t>https://pubmed.ncbi.nlm.nih.gov/42819223/</w:t>
      </w:r>
    </w:p>
    <w:p>
      <w:pPr>
        <w:pStyle w:val="Heading2"/>
      </w:pPr>
      <w:r>
        <w:t>WHO-Checkliste mit geschulten Teams hob Sicherheitskultur in OP um 12 Prozentpunkte</w:t>
      </w:r>
    </w:p>
    <w:p>
      <w:r>
        <w:rPr>
          <w:i/>
          <w:color w:val="666666"/>
          <w:sz w:val="18"/>
        </w:rPr>
        <w:t>Aouicha W et al.  ·  J Nurs Manag  ·  2026  ·  PMID 42817022</w:t>
      </w:r>
    </w:p>
    <w:p>
      <w:r>
        <w:t>Zwei tunesische Krankenhäuser führten ein Implementierungsbündel mit Surgical Safety Checklist, Teamtraining, Mentoring und Audit durch; 347 Fachkräfte (Ärzte, Anästhesisten, Pflegende) wurden befragt zu Sicherheitswahrnehmung in 12 Operationssälen über 21 Monate.</w:t>
      </w:r>
    </w:p>
    <w:p>
      <w:r>
        <w:rPr>
          <w:b/>
        </w:rPr>
        <w:t xml:space="preserve">Ergebnis: </w:t>
      </w:r>
      <w:r>
        <w:t>Gesamtwahrnehmte Sicherheit stieg von 70,7% auf 82,4% (postintervention) und stabilisierte sich. Vier Dimensionen verbesserten sich signifikant: Organisationales Lernen von 37,7% auf 50,6%, Teamwork innerhalb von 47,6% auf 59,1%, Kommunikationsopenness von 27,2% auf 46,2%, Teamwork übergreifend von 29,2% auf 37,5%.</w:t>
      </w:r>
    </w:p>
    <w:p>
      <w:r>
        <w:rPr>
          <w:b/>
          <w:sz w:val="19"/>
        </w:rPr>
        <w:t xml:space="preserve">Übertragbarkeit: </w:t>
      </w:r>
      <w:r>
        <w:rPr>
          <w:sz w:val="19"/>
        </w:rPr>
        <w:t>Nordafrika, multilingual; Settings mit Ressourcenknappheit wie deutsche Bundesländer</w:t>
      </w:r>
    </w:p>
    <w:p>
      <w:r>
        <w:rPr>
          <w:color w:val="5A7D3A"/>
          <w:sz w:val="18"/>
        </w:rPr>
        <w:t>https://pubmed.ncbi.nlm.nih.gov/42817022/</w:t>
      </w:r>
    </w:p>
    <w:p>
      <w:pPr>
        <w:pStyle w:val="Heading1"/>
      </w:pPr>
      <w:r>
        <w:t>Aufgenommen am 01.10.2026</w:t>
      </w:r>
    </w:p>
    <w:p>
      <w:pPr>
        <w:pStyle w:val="Heading2"/>
      </w:pPr>
      <w:r>
        <w:t>Defensive Medizin bei Geburtshelferinnen und Frauenärztinnen: Arbeitsunzufriedenheit steigert Schutzverhalten stark</w:t>
      </w:r>
    </w:p>
    <w:p>
      <w:r>
        <w:rPr>
          <w:i/>
          <w:color w:val="666666"/>
          <w:sz w:val="18"/>
        </w:rPr>
        <w:t>Cenger CD et al.  ·  JMIR Form Res  ·  30.09.2026  ·  PMID 42814963</w:t>
      </w:r>
    </w:p>
    <w:p>
      <w:r>
        <w:t>Cross-sectional-Studie (n=1069) unter Fachleuten in Geburtsmedizin in Istanbul; multivariable lineare Regressionsmodelle zur Identifikation unabhängig assoziierter Faktoren.</w:t>
      </w:r>
    </w:p>
    <w:p>
      <w:r>
        <w:rPr>
          <w:b/>
        </w:rPr>
        <w:t xml:space="preserve">Ergebnis: </w:t>
      </w:r>
      <w:r>
        <w:t>Mittlerer TDMPAS-Score 48,12 (SD 10,59). Unzufriedenheit mit Arbeitsbedingungen war unabhängig mit höheren defensive-medicine-Scores assoziiert (B=6,62; 95%-KI 4,19–9,05; p&lt;0,001), ebenso frühere Verwaltungsuntersuchungen (B=3,44; 95%-KI 1,37–5,50; p=0,001). Haftungsschulung (B=-2,18; p=0,002) und höhere Berufserfahrung (B=-0,15 pro Jahr; p=0,03) waren protektiv. Modell erklärte 17,6 % der Varianz.</w:t>
      </w:r>
    </w:p>
    <w:p>
      <w:r>
        <w:rPr>
          <w:b/>
          <w:sz w:val="19"/>
        </w:rPr>
        <w:t xml:space="preserve">Übertragbarkeit: </w:t>
      </w:r>
      <w:r>
        <w:rPr>
          <w:sz w:val="19"/>
        </w:rPr>
        <w:t>Türkei, Haftungsklima analog zu DACH, Defensive Medicine ähnlich häufig</w:t>
      </w:r>
    </w:p>
    <w:p>
      <w:r>
        <w:rPr>
          <w:color w:val="5A7D3A"/>
          <w:sz w:val="18"/>
        </w:rPr>
        <w:t>https://pubmed.ncbi.nlm.nih.gov/42814963/</w:t>
      </w:r>
    </w:p>
    <w:p>
      <w:pPr>
        <w:pStyle w:val="Heading2"/>
      </w:pPr>
      <w:r>
        <w:t>Druckgeschwüre als Zwischenfälle: 24 % aller gemeldeten unerwünschten Ereignisse in Spezialkrankenhaus</w:t>
      </w:r>
    </w:p>
    <w:p>
      <w:r>
        <w:rPr>
          <w:i/>
          <w:color w:val="666666"/>
          <w:sz w:val="18"/>
        </w:rPr>
        <w:t>Sowińska IM et al.  ·  PLoS One  ·  30.09.2026  ·  PMID 42814750</w:t>
      </w:r>
    </w:p>
    <w:p>
      <w:r>
        <w:t>Retrospektive Analyse von 1272 gemeldeten unerwünschten Ereignissen (2013–2020) in einem polnischen Spezialkrankenhaus; 305 davon (24 %) waren erworbene Druckgeschwüre.</w:t>
      </w:r>
    </w:p>
    <w:p>
      <w:r>
        <w:rPr>
          <w:b/>
        </w:rPr>
        <w:t xml:space="preserve">Ergebnis: </w:t>
      </w:r>
      <w:r>
        <w:t>Patienten mit Druckgeschwüren hatten signifikant längere Krankenhausaufenthalte (18,64 vs. 12,62 Tage; p &lt; 0,001) und mehr verordnete Medikamente (18,14 vs. 10,43; p &lt; 0,001). Im multivariaten Modell waren höheres Alter, prolongierte Hospitalisierung, höhere Medikamentenzahl und größere Komorbiditätslast unabhängig mit Druckgeschwüren assoziiert. Systematische Überwachung könnte Hochrisikopatienten identifizieren.</w:t>
      </w:r>
    </w:p>
    <w:p>
      <w:r>
        <w:rPr>
          <w:b/>
          <w:sz w:val="19"/>
        </w:rPr>
        <w:t xml:space="preserve">Übertragbarkeit: </w:t>
      </w:r>
      <w:r>
        <w:rPr>
          <w:sz w:val="19"/>
        </w:rPr>
        <w:t>Polen, vergleichbare Meldepflichten für unerwünschte Ereignisse</w:t>
      </w:r>
    </w:p>
    <w:p>
      <w:r>
        <w:rPr>
          <w:color w:val="5A7D3A"/>
          <w:sz w:val="18"/>
        </w:rPr>
        <w:t>https://pubmed.ncbi.nlm.nih.gov/42814750/</w:t>
      </w:r>
    </w:p>
    <w:p>
      <w:pPr>
        <w:pStyle w:val="Heading2"/>
      </w:pPr>
      <w:r>
        <w:t>Verzögerte Notfall-Kaiserschnitte und Fehldiagnosen führten 2025 zu häufigsten Arztfehlerurteilen in Malaysia</w:t>
      </w:r>
    </w:p>
    <w:p>
      <w:r>
        <w:rPr>
          <w:i/>
          <w:color w:val="666666"/>
          <w:sz w:val="18"/>
        </w:rPr>
        <w:t>Zainal Abidin H et al.  ·  Med J Malaysia  ·  Sept. 2026  ·  PMID 42813486</w:t>
      </w:r>
    </w:p>
    <w:p>
      <w:r>
        <w:t>Retrospektive Fallanalyse von 29 Haftungsfällen aus 2025 mit strukturiertem dreistufigem Kodierungsrahmen zur Erfassung von Rechenschaftspflicht und klinischer Governance.</w:t>
      </w:r>
    </w:p>
    <w:p>
      <w:r>
        <w:rPr>
          <w:b/>
        </w:rPr>
        <w:t xml:space="preserve">Ergebnis: </w:t>
      </w:r>
      <w:r>
        <w:t>22 Fälle in High Court, überwiegend öffentliche Krankenhäuser; Orthopädie (n=10), Geburtsmedizin (n=8), andere Chirurgie (n=6). Haftungsauslöser: zeitkritische Verzögerungen (Notfall-Kaiserschnitt, Gefäßbehandlung), Diagnostikversäumnisse (radiologische Untersuchungen, Sepsisverschleppung), unzureichende informed consent, unvollständige Dokumentation. Klinische Hosps wurden für Systemversäumnisse haftbar gemacht (non-delegable duty); Dokumentationsmängel galten als schwerwiegende Aggravation.</w:t>
      </w:r>
    </w:p>
    <w:p>
      <w:r>
        <w:rPr>
          <w:b/>
          <w:sz w:val="19"/>
        </w:rPr>
        <w:t xml:space="preserve">Übertragbarkeit: </w:t>
      </w:r>
      <w:r>
        <w:rPr>
          <w:sz w:val="19"/>
        </w:rPr>
        <w:t>Malaysia, Verschuldenshaftung wie Deutschland, wachsende Systemverantwortlichkeit</w:t>
      </w:r>
    </w:p>
    <w:p>
      <w:r>
        <w:rPr>
          <w:color w:val="5A7D3A"/>
          <w:sz w:val="18"/>
        </w:rPr>
        <w:t>https://pubmed.ncbi.nlm.nih.gov/42813486/</w:t>
      </w:r>
    </w:p>
    <w:p>
      <w:pPr>
        <w:pStyle w:val="Heading2"/>
      </w:pPr>
      <w:r>
        <w:t>Procalcitonin erkannt pädiatrische Sepsis mit mäßiger Genauigkeit – nutzbarer Zusatzmarker</w:t>
      </w:r>
    </w:p>
    <w:p>
      <w:r>
        <w:rPr>
          <w:i/>
          <w:color w:val="666666"/>
          <w:sz w:val="18"/>
        </w:rPr>
        <w:t>Razak SMA et al.  ·  Med J Malaysia  ·  Sept. 2026  ·  PMID 42813484</w:t>
      </w:r>
    </w:p>
    <w:p>
      <w:r>
        <w:t>Retrospektive Studie in malaysischer Tertiärklinik (Juni 2022–Juni 2024); 242 Kinder mit PCT-Test; ROC-Analyse und diagnostische Genauigkeit bei 0,5 ng/mL Cutoff.</w:t>
      </w:r>
    </w:p>
    <w:p>
      <w:r>
        <w:rPr>
          <w:b/>
        </w:rPr>
        <w:t xml:space="preserve">Ergebnis: </w:t>
      </w:r>
      <w:r>
        <w:t>129 (53,3 %) Sepsis-Fälle. Mittlere PCT-Werte höher bei Sepsis (1,940 vs. 0,240 ng/mL; p&lt;0,0001). Bei Cutoff 0,5 ng/mL: Sensitivität 76 %, Spezifität 73,5 %, PPV 76,6 %, NPV 72,8 %, PLR 2,86, NLR 0,33, Diagn. OR 8,75. ROC AUC 0,747 (95%-KI 0,692–0,802). PCT moderat positiv korreliert mit CRP (r=0,546), nicht mit Leukozytenzahl.</w:t>
      </w:r>
    </w:p>
    <w:p>
      <w:r>
        <w:rPr>
          <w:b/>
          <w:sz w:val="19"/>
        </w:rPr>
        <w:t xml:space="preserve">Übertragbarkeit: </w:t>
      </w:r>
      <w:r>
        <w:rPr>
          <w:sz w:val="19"/>
        </w:rPr>
        <w:t>Malaysia, pädiatrische Bevölkerung, PCT als klinisches Adjuvans übertragbar</w:t>
      </w:r>
    </w:p>
    <w:p>
      <w:r>
        <w:rPr>
          <w:color w:val="5A7D3A"/>
          <w:sz w:val="18"/>
        </w:rPr>
        <w:t>https://pubmed.ncbi.nlm.nih.gov/42813484/</w:t>
      </w:r>
    </w:p>
    <w:p>
      <w:pPr>
        <w:pStyle w:val="Heading2"/>
      </w:pPr>
      <w:r>
        <w:t>Magnesiummangel erhöht nosokomiale Spontanperitonitis und Sepsis bei Zirrhose</w:t>
      </w:r>
    </w:p>
    <w:p>
      <w:r>
        <w:rPr>
          <w:i/>
          <w:color w:val="666666"/>
          <w:sz w:val="18"/>
        </w:rPr>
        <w:t>Duan XJ et al.  ·  Front Immunol  ·  15.09.2026  ·  PMID 42812346</w:t>
      </w:r>
    </w:p>
    <w:p>
      <w:r>
        <w:t>Retrospektive Kohortenstudie (n=1110) von Zirrhosepatienten (Mai 2021–Juni 2025) mit Magnesiumspiegeln innerhalb 48 h nach Aufnahme; multivariable Regression und restricted cubic spline-Analyse.</w:t>
      </w:r>
    </w:p>
    <w:p>
      <w:r>
        <w:rPr>
          <w:b/>
        </w:rPr>
        <w:t xml:space="preserve">Ergebnis: </w:t>
      </w:r>
      <w:r>
        <w:t>HA-SBP-Inzidenz 12,25 %, Sepsis 6,06 %. Pro 1-SD Magnesiumeröhung sanken HA-SBP-Risiko um 20,8 % (OR=0,792; 95%-KI 0,642–0,970; p=0,026) und Sepsisrisiko um 35,5 % (OR=0,645; 95%-KI 0,464–0,883; p=0,008). Hypomagnesämie vs. Normomagnesämie: OR für HA-SBP 1,520 (p=0,044), für Sepsis 2,213 (p=0,013). Lineare inverse Beziehung in RCS-Analyse (beide p&gt;0,05). AUC für HA-SBP 0,635, für Sepsis 0,688.</w:t>
      </w:r>
    </w:p>
    <w:p>
      <w:r>
        <w:rPr>
          <w:b/>
          <w:sz w:val="19"/>
        </w:rPr>
        <w:t xml:space="preserve">Übertragbarkeit: </w:t>
      </w:r>
      <w:r>
        <w:rPr>
          <w:sz w:val="19"/>
        </w:rPr>
        <w:t>China, Sepsisrisikofaktor mit messbarem Effekt, Interventionspotenzial</w:t>
      </w:r>
    </w:p>
    <w:p>
      <w:r>
        <w:rPr>
          <w:color w:val="5A7D3A"/>
          <w:sz w:val="18"/>
        </w:rPr>
        <w:t>https://pubmed.ncbi.nlm.nih.gov/42812346/</w:t>
      </w:r>
    </w:p>
    <w:p>
      <w:pPr>
        <w:pStyle w:val="Heading2"/>
      </w:pPr>
      <w:r>
        <w:t>Zinkmangelassoziiert mit höherer Sepsismortalität – Frühaufgriff ermöglicht Intervention</w:t>
      </w:r>
    </w:p>
    <w:p>
      <w:r>
        <w:rPr>
          <w:i/>
          <w:color w:val="666666"/>
          <w:sz w:val="18"/>
        </w:rPr>
        <w:t>Tuan NV et al.  ·  Int J Infect Dis  ·  25.08.2026  ·  PMID 42641939</w:t>
      </w:r>
    </w:p>
    <w:p>
      <w:r>
        <w:t>Prospektive Kohortenstudie (n=120) zu Zinkspiegeln bei Sepsispatienten zwischen Aufnahme und Tag 3; Analysen mit gemischtem Modell und Cox-Regression.</w:t>
      </w:r>
    </w:p>
    <w:p>
      <w:r>
        <w:rPr>
          <w:b/>
        </w:rPr>
        <w:t xml:space="preserve">Ergebnis: </w:t>
      </w:r>
      <w:r>
        <w:t>Patienten, die bis Tag 7 starben, zeigten keine unterschiedlichen Ausgangszinkwerte, aber niedrigere Zinkwerte am Tag 3 (56,05 vs. 68,65 µg/dL; p=0,081) und geringere Zinkzunahme vom Aufnahme- bis Tag 3 (0,80 vs. 15,40 µg/dL; p=0,017). Höhere Zinkwerte am Tag 3 waren mit niedrigerer Mortalität assoziiert (HR pro 10 µg/dL 0,77; 95%-KI 0,60–0,97; p=0,028). Versatz der Zinktrajektor zeichnete signifikant unterschiedliche Kurven nach Ausgang (Interaktion p=0,0022).</w:t>
      </w:r>
    </w:p>
    <w:p>
      <w:r>
        <w:rPr>
          <w:b/>
          <w:sz w:val="19"/>
        </w:rPr>
        <w:t xml:space="preserve">Übertragbarkeit: </w:t>
      </w:r>
      <w:r>
        <w:rPr>
          <w:sz w:val="19"/>
        </w:rPr>
        <w:t>Vietnam mit deutschem Partnerzentrum, messbarer Frühmarker für Sepsisrisiko</w:t>
      </w:r>
    </w:p>
    <w:p>
      <w:r>
        <w:rPr>
          <w:color w:val="5A7D3A"/>
          <w:sz w:val="18"/>
        </w:rPr>
        <w:t>https://pubmed.ncbi.nlm.nih.gov/42641939/</w:t>
      </w:r>
    </w:p>
    <w:p>
      <w:pPr>
        <w:pStyle w:val="Heading1"/>
      </w:pPr>
      <w:r>
        <w:t>Aufgenommen am 30.09.2026</w:t>
      </w:r>
    </w:p>
    <w:p>
      <w:pPr>
        <w:pStyle w:val="Heading2"/>
      </w:pPr>
      <w:r>
        <w:t>Chirurgische Infektionen steigern Behandlungskosten nach Bauchoperationen um 29.600 Euro</w:t>
      </w:r>
    </w:p>
    <w:p>
      <w:r>
        <w:rPr>
          <w:i/>
          <w:color w:val="666666"/>
          <w:sz w:val="18"/>
        </w:rPr>
        <w:t>Bontekoning N et al.  ·  BJS Open  ·  04.09.2026  ·  PMID 42808217</w:t>
      </w:r>
    </w:p>
    <w:p>
      <w:r>
        <w:t>Sekundäranalyse der EPO2CH-Studie mit 1.119 Patienten quantifizierte Kosten und Lebensqualität nach elektiven Bauchoperationen mit Infektionen versus ohne.</w:t>
      </w:r>
    </w:p>
    <w:p>
      <w:r>
        <w:rPr>
          <w:b/>
        </w:rPr>
        <w:t xml:space="preserve">Ergebnis: </w:t>
      </w:r>
      <w:r>
        <w:t>Patienten mit Infektionen: durchschnittliche Kosten 53.562 Euro vs. 23.969 Euro ohne Infektionen (Differenz 29.592 Euro). Qualitätsverlust: 0,171 QALYs vs. 0,205 ohne Infektionen (Differenz -0,035), entsprechend 12,78 Tagen verlorener Gesundheit in 3 Monaten. Anastomoseninsuffizienz mit höchsten Kosten (56.401 Euro mehr).</w:t>
      </w:r>
    </w:p>
    <w:p>
      <w:r>
        <w:rPr>
          <w:b/>
          <w:sz w:val="19"/>
        </w:rPr>
        <w:t xml:space="preserve">Übertragbarkeit: </w:t>
      </w:r>
      <w:r>
        <w:rPr>
          <w:sz w:val="19"/>
        </w:rPr>
        <w:t>Niederländische Klinikdaten, vergleichbares Versicherungssystem</w:t>
      </w:r>
    </w:p>
    <w:p>
      <w:r>
        <w:rPr>
          <w:color w:val="5A7D3A"/>
          <w:sz w:val="18"/>
        </w:rPr>
        <w:t>https://pubmed.ncbi.nlm.nih.gov/42808217/</w:t>
      </w:r>
    </w:p>
    <w:p>
      <w:pPr>
        <w:pStyle w:val="Heading2"/>
      </w:pPr>
      <w:r>
        <w:t>Desinfektion der Reinigungswerkzeuge senkt Pathogenkontamination um 50 Prozent</w:t>
      </w:r>
    </w:p>
    <w:p>
      <w:r>
        <w:rPr>
          <w:i/>
          <w:color w:val="666666"/>
          <w:sz w:val="18"/>
        </w:rPr>
        <w:t>Zhang X et al.  ·  Front Public Health  ·  14.09.2026  ·  PMID 42807511</w:t>
      </w:r>
    </w:p>
    <w:p>
      <w:r>
        <w:t>Querschnittsstudie mit 5.000 Proben von wiederverwendbaren Reinigungswerkzeugen in Shanghaier Krankenhäusern ermittelte Kontaminationsquoten und Effektivität von Desinfektionsmethoden.</w:t>
      </w:r>
    </w:p>
    <w:p>
      <w:r>
        <w:rPr>
          <w:b/>
        </w:rPr>
        <w:t xml:space="preserve">Ergebnis: </w:t>
      </w:r>
      <w:r>
        <w:t>Gesamtkontaminationsquote 7,44%. Werkzeuge ohne routinemäßige Desinfektion: 1,859-fach höheres Infektionsrisiko (OR; 95%-KI 1,283–2,691). Disposable-Desinfektionstücher effektiver als Wischen mit Lappen (p=0,038). Interne Medizin und Chirurgie höheres Risiko als Intensivstation (OR 1,90 bzw. 1,92).</w:t>
      </w:r>
    </w:p>
    <w:p>
      <w:r>
        <w:rPr>
          <w:b/>
          <w:sz w:val="19"/>
        </w:rPr>
        <w:t xml:space="preserve">Übertragbarkeit: </w:t>
      </w:r>
      <w:r>
        <w:rPr>
          <w:sz w:val="19"/>
        </w:rPr>
        <w:t>China, Prinzipien universal, aber lokale Hygienestandards variabel</w:t>
      </w:r>
    </w:p>
    <w:p>
      <w:r>
        <w:rPr>
          <w:color w:val="5A7D3A"/>
          <w:sz w:val="18"/>
        </w:rPr>
        <w:t>https://pubmed.ncbi.nlm.nih.gov/42807511/</w:t>
      </w:r>
    </w:p>
    <w:p>
      <w:pPr>
        <w:pStyle w:val="Heading2"/>
      </w:pPr>
      <w:r>
        <w:t>Infektionsprävention kontrolierte ESBL-Klebsiella-Ausbruch auf Neugeborenen-Station in 2 Monaten</w:t>
      </w:r>
    </w:p>
    <w:p>
      <w:r>
        <w:rPr>
          <w:i/>
          <w:color w:val="666666"/>
          <w:sz w:val="18"/>
        </w:rPr>
        <w:t>Comelli A et al.  ·  Antimicrob Resist Infect Control  ·  29.09.2026  ·  PMID 42806396</w:t>
      </w:r>
    </w:p>
    <w:p>
      <w:r>
        <w:t>Retrospektive Fall-Kontroll-Studie eines Ausbruchs mit 44 bestätigten ESBL-Klebsiella-Fällen in einer Neugeborenen-Intensivstation in Bangui dokumentierte Maßnahmen zur Ausbruchkontrolle.</w:t>
      </w:r>
    </w:p>
    <w:p>
      <w:r>
        <w:rPr>
          <w:b/>
        </w:rPr>
        <w:t xml:space="preserve">Ergebnis: </w:t>
      </w:r>
      <w:r>
        <w:t>Inzidenz 29,7 Fälle pro 1.000 Patiententage. Mortalität in der Infektionsgruppe 3,5-fach höher. Überbelegung &gt;100% und schlechte Infektionsprävention initial. Nach IPC-Interventionen (erste Monatshälfte): Ausbruch in ~2 Monaten kontrolliert. 56,8% frühe Sepsis, maternale Risikofaktoren stärkster unabhängiger Risikofaktor.</w:t>
      </w:r>
    </w:p>
    <w:p>
      <w:r>
        <w:rPr>
          <w:b/>
          <w:sz w:val="19"/>
        </w:rPr>
        <w:t xml:space="preserve">Übertragbarkeit: </w:t>
      </w:r>
      <w:r>
        <w:rPr>
          <w:sz w:val="19"/>
        </w:rPr>
        <w:t>Mittel-Afrika, prinzipien auf Deutschland übertragbar, aber Ressourcenunterschiede erheblich</w:t>
      </w:r>
    </w:p>
    <w:p>
      <w:r>
        <w:rPr>
          <w:color w:val="5A7D3A"/>
          <w:sz w:val="18"/>
        </w:rPr>
        <w:t>https://pubmed.ncbi.nlm.nih.gov/42806396/</w:t>
      </w:r>
    </w:p>
    <w:p>
      <w:pPr>
        <w:pStyle w:val="Heading2"/>
      </w:pPr>
      <w:r>
        <w:t>Mitochondriale Proteine prognostizieren Sepsis-Mortalität: 72-Stunden-Vorhersage möglich</w:t>
      </w:r>
    </w:p>
    <w:p>
      <w:r>
        <w:rPr>
          <w:i/>
          <w:color w:val="666666"/>
          <w:sz w:val="18"/>
        </w:rPr>
        <w:t>Meems CJ et al.  ·  Crit Care  ·  29.08.2026  ·  PMID 42806380</w:t>
      </w:r>
    </w:p>
    <w:p>
      <w:r>
        <w:t>Post-hoc-Analyse der Acutelines-Biobank mit 213 Sepsis-Patienten untersuchte, ob Plasmaprofile mitochondrial-assoziierter Proteine (232 aus 5.416 gemessenen) mit Schweregrad und Kurzzeitausgang verbunden sind.</w:t>
      </w:r>
    </w:p>
    <w:p>
      <w:r>
        <w:rPr>
          <w:b/>
        </w:rPr>
        <w:t xml:space="preserve">Ergebnis: </w:t>
      </w:r>
      <w:r>
        <w:t>Mitochondrial-Protein-Score korrelierte mit Schweregrad (Spearman ρ 0,18–0,29; p&lt;0,01) und schlechteren 72-h-Ergebnissen: Organversagen-freies Überleben OR 0,57 pro Standardabweichung; ICU-Aufnahme OR 1,66; Mortalität OR 2,36. Zwei Cluster identifiziert, aber eher kontinuierliches Spektrum als diskrete Subphänotypen.</w:t>
      </w:r>
    </w:p>
    <w:p>
      <w:r>
        <w:rPr>
          <w:b/>
          <w:sz w:val="19"/>
        </w:rPr>
        <w:t xml:space="preserve">Übertragbarkeit: </w:t>
      </w:r>
      <w:r>
        <w:rPr>
          <w:sz w:val="19"/>
        </w:rPr>
        <w:t>Niederlande, europäisches Gesundheitssystem, methodisch vergleichbar</w:t>
      </w:r>
    </w:p>
    <w:p>
      <w:r>
        <w:rPr>
          <w:color w:val="5A7D3A"/>
          <w:sz w:val="18"/>
        </w:rPr>
        <w:t>https://pubmed.ncbi.nlm.nih.gov/42806380/</w:t>
      </w:r>
    </w:p>
    <w:p>
      <w:pPr>
        <w:pStyle w:val="Heading2"/>
      </w:pPr>
      <w:r>
        <w:t>Bluttransfusion bei krebskranken Sepsis-Patienten: restrictive Strategie nicht unterlegen</w:t>
      </w:r>
    </w:p>
    <w:p>
      <w:r>
        <w:rPr>
          <w:i/>
          <w:color w:val="666666"/>
          <w:sz w:val="18"/>
        </w:rPr>
        <w:t>Pène F et al.  ·  Intensive Care Med  ·  19.08.2026  ·  PMID 42616082</w:t>
      </w:r>
    </w:p>
    <w:p>
      <w:r>
        <w:t>Randomisierte Studie (TRANSPORT) mit 187 Patienten mit Krebs und septischem Schock verglich liberale versus restrictive RBC-Transfusionsstrategie auf Basis Hämoglobin-Schwellenwerte.</w:t>
      </w:r>
    </w:p>
    <w:p>
      <w:r>
        <w:rPr>
          <w:b/>
        </w:rPr>
        <w:t xml:space="preserve">Ergebnis: </w:t>
      </w:r>
      <w:r>
        <w:t>Liberale Gruppe (Hb 9,0): 52% mit 12-h-Laktat-Reduktion. Restrictive Gruppe (Hb 7,0): 50% (OR 1,07; KI 0,60–1,90; p=0,82). Thrombotische Ereignisse liberale: 13% vs. restrictive 1% (p=0,001). 28-Tage-Mortalität 46% vs. 53% (p=0,34). Studie vorzeitig wegen Sicherheitsbedenken gestoppt.</w:t>
      </w:r>
    </w:p>
    <w:p>
      <w:r>
        <w:rPr>
          <w:b/>
          <w:sz w:val="19"/>
        </w:rPr>
        <w:t xml:space="preserve">Übertragbarkeit: </w:t>
      </w:r>
      <w:r>
        <w:rPr>
          <w:sz w:val="19"/>
        </w:rPr>
        <w:t>Frankreich, europäisches Gesundheitssystem, Design übertragbar</w:t>
      </w:r>
    </w:p>
    <w:p>
      <w:r>
        <w:rPr>
          <w:color w:val="5A7D3A"/>
          <w:sz w:val="18"/>
        </w:rPr>
        <w:t>https://pubmed.ncbi.nlm.nih.gov/42616082/</w:t>
      </w:r>
    </w:p>
    <w:p>
      <w:pPr>
        <w:pStyle w:val="Heading2"/>
      </w:pPr>
      <w:r>
        <w:t>Pandemie änderte Sterberisiko viraler Sepsis: französische ICU-Kohortenstudie</w:t>
      </w:r>
    </w:p>
    <w:p>
      <w:r>
        <w:rPr>
          <w:i/>
          <w:color w:val="666666"/>
          <w:sz w:val="18"/>
        </w:rPr>
        <w:t>Al Rahmoun M et al.  ·  Int J Infect Dis  ·  16.08.2026  ·  PMID 42604654</w:t>
      </w:r>
    </w:p>
    <w:p>
      <w:r>
        <w:t>Analyse von 604.517 Patienten auf französischen Intensivstationen zeigte, dass COVID-19-Pandemie die Mortalitätsassoziation zwischen viraler und bakterieller Sepsis umkehrte.</w:t>
      </w:r>
    </w:p>
    <w:p>
      <w:r>
        <w:rPr>
          <w:b/>
        </w:rPr>
        <w:t xml:space="preserve">Ergebnis: </w:t>
      </w:r>
      <w:r>
        <w:t>Präpandemisch: virale Sepsis mit reduzierter In-Hospital-Mortalität vs. bakterieller Sepsis (aOR 0,63 bis 0,67). Während Pandemie: virale Sepsis (überwiegend COVID-19) mit erhöhter Mortalität (aOR 1,41 mit Koinfektionen). Gesamtmortalität stationär 29,2%, 90-Tage-Mortalität 34,0%.</w:t>
      </w:r>
    </w:p>
    <w:p>
      <w:r>
        <w:rPr>
          <w:b/>
          <w:sz w:val="19"/>
        </w:rPr>
        <w:t xml:space="preserve">Übertragbarkeit: </w:t>
      </w:r>
      <w:r>
        <w:rPr>
          <w:sz w:val="19"/>
        </w:rPr>
        <w:t>Französische Kohortendaten, europäisches Gesundheitssystem, direkt übertragbar</w:t>
      </w:r>
    </w:p>
    <w:p>
      <w:r>
        <w:rPr>
          <w:color w:val="5A7D3A"/>
          <w:sz w:val="18"/>
        </w:rPr>
        <w:t>https://pubmed.ncbi.nlm.nih.gov/42604654/</w:t>
      </w:r>
    </w:p>
    <w:p>
      <w:pPr>
        <w:pStyle w:val="Heading1"/>
      </w:pPr>
      <w:r>
        <w:t>Aufgenommen am 29.09.2026</w:t>
      </w:r>
    </w:p>
    <w:p>
      <w:pPr>
        <w:pStyle w:val="Heading2"/>
      </w:pPr>
      <w:r>
        <w:t>Invasive Geräte und Zimmerbelegung mit CRE-Patienten verdoppeln Kolonisierungsrisiko in Langzeitpflege</w:t>
      </w:r>
    </w:p>
    <w:p>
      <w:r>
        <w:rPr>
          <w:i/>
          <w:color w:val="666666"/>
          <w:sz w:val="18"/>
        </w:rPr>
        <w:t>Hwang H et al.  ·  PLoS One  ·  28.09.2026  ·  PMID 42804487</w:t>
      </w:r>
    </w:p>
    <w:p>
      <w:r>
        <w:t>Prospektive aktive Überwachungsstudie an 140 Patienten in 4 südkoreanischen Langzeitkrankenhäusern (Nov. 2023 – Dez. 2024): Asymptomatic-CRE-Kolonisierungsprävalenz und Akquisitionsrisiken wurden untersucht.</w:t>
      </w:r>
    </w:p>
    <w:p>
      <w:r>
        <w:rPr>
          <w:b/>
        </w:rPr>
        <w:t xml:space="preserve">Ergebnis: </w:t>
      </w:r>
      <w:r>
        <w:t>Gesamtprävalenz: 24,3% (34/140); bei Neuzuweisungen 30,8%, bei Dauerpatienten 21,8%. Unter initial negativen Patienten: 8,6% erwarben CRE während Aufenthalt. Cox-Regression: invasive Geräte im letzten Jahr HR 9,83; vorherige Zimmerbelegung mit CRE-Positiven HR 5,01. KPC dominant (80%). Die Studie zeigt: Standardprecautions und zeitnahes Cohorting essentiell.</w:t>
      </w:r>
    </w:p>
    <w:p>
      <w:r>
        <w:rPr>
          <w:b/>
          <w:sz w:val="19"/>
        </w:rPr>
        <w:t xml:space="preserve">Übertragbarkeit: </w:t>
      </w:r>
      <w:r>
        <w:rPr>
          <w:sz w:val="19"/>
        </w:rPr>
        <w:t>Südkorea, vergleichbare Struktur langer Betreuung</w:t>
      </w:r>
    </w:p>
    <w:p>
      <w:r>
        <w:rPr>
          <w:color w:val="5A7D3A"/>
          <w:sz w:val="18"/>
        </w:rPr>
        <w:t>https://pubmed.ncbi.nlm.nih.gov/42804487/</w:t>
      </w:r>
    </w:p>
    <w:p>
      <w:pPr>
        <w:pStyle w:val="Heading2"/>
      </w:pPr>
      <w:r>
        <w:t>Frühzeitige hämodynamische Reaktion auf Dobutamin senkt Sepsissterblichkeit</w:t>
      </w:r>
    </w:p>
    <w:p>
      <w:r>
        <w:rPr>
          <w:i/>
          <w:color w:val="666666"/>
          <w:sz w:val="18"/>
        </w:rPr>
        <w:t>Tarbaghia M et al.  ·  Crit Care Explor  ·  01.10.2026  ·  PMID 42804358</w:t>
      </w:r>
    </w:p>
    <w:p>
      <w:r>
        <w:t>Retrospektive Kohortenstudie von 104 Patienten mit septischem Schock und Myokarddysfunktion: Hämodynamische Ansprechbarkeit auf Dobutamin (Steigerung der zentralvenösen O2-Sättigung um ≥5 Prozentpunkte plus Reduktion der Noradrenalin-Äquivalentdosis) wurde nach 2 Stunden definiert und mit 28-Tage-ICU-Mortalität verglichen.</w:t>
      </w:r>
    </w:p>
    <w:p>
      <w:r>
        <w:rPr>
          <w:b/>
        </w:rPr>
        <w:t xml:space="preserve">Ergebnis: </w:t>
      </w:r>
      <w:r>
        <w:t>37 Patienten (36%) waren Responder. Nach multivariater Anpassung war hämodynamische Response mit niedrigerer 28-Tage-ICU-Mortalität assoziiert (OR 0,18; 95%-KI 0,04–0,68; p=0,018): 41% Responder vs. 58% Non-Responder. Responder hatten mehr ICU-freie Tage (17 vs. 0). Baseline-Echokardiographieparameter identifizierten Responder nicht.</w:t>
      </w:r>
    </w:p>
    <w:p>
      <w:r>
        <w:rPr>
          <w:b/>
          <w:sz w:val="19"/>
        </w:rPr>
        <w:t xml:space="preserve">Übertragbarkeit: </w:t>
      </w:r>
      <w:r>
        <w:rPr>
          <w:sz w:val="19"/>
        </w:rPr>
        <w:t>USA; Sicherheitsbefund und Outcome-Hierarchie sind übertragbar</w:t>
      </w:r>
    </w:p>
    <w:p>
      <w:r>
        <w:rPr>
          <w:color w:val="5A7D3A"/>
          <w:sz w:val="18"/>
        </w:rPr>
        <w:t>https://pubmed.ncbi.nlm.nih.gov/42804358/</w:t>
      </w:r>
    </w:p>
    <w:p>
      <w:pPr>
        <w:pStyle w:val="Heading2"/>
      </w:pPr>
      <w:r>
        <w:t>Prehospital Fieber und gastrointestinale Symptome beeinflussen Antibiotikatiming bei Sepsis</w:t>
      </w:r>
    </w:p>
    <w:p>
      <w:r>
        <w:rPr>
          <w:i/>
          <w:color w:val="666666"/>
          <w:sz w:val="18"/>
        </w:rPr>
        <w:t>Conlon A et al.  ·  JAMA Netw Open  ·  01.09.2026  ·  PMID 42804206</w:t>
      </w:r>
    </w:p>
    <w:p>
      <w:r>
        <w:t>Kohortenstudie an 29.647 Patienten mit vermuteter bakterieller Sepsis: Präsentation mit Fieber erhöhte die Quote zeitiger Antibiotikagabe (≤3h bei Hypotonie, ≤5h ohne), gastrointestinale Symptome senkten sie; zeitige Antibiotika verbesserten 28-Tage-Mortalität auch nach Anpassung für Symptome.</w:t>
      </w:r>
    </w:p>
    <w:p>
      <w:r>
        <w:rPr>
          <w:b/>
        </w:rPr>
        <w:t xml:space="preserve">Ergebnis: </w:t>
      </w:r>
      <w:r>
        <w:t>Unter 6.704 Patienten mit Hypotonie erhielten 65,8% zeitig Antibiotika (innerhalb 3h); unter 22.942 ohne Hypotonie 76,5% (innerhalb 5h). Fieber war mit erhöhten Chancen zeitiger Antibiotika assoziiert (mit Hypotonie: aOR 1,34; ohne: aOR 1,26), gastrointestinale Symptome mit erniedrigten (aOR 0,84 bzw. 0,80). Zeitige Antibiotika: adjustierte absolute Mortalitätsdifferenz −2,10 Prozentpunkte. Die Studie zeigt: Klinische Präsentation steuert Erkennungsgeschwindigkeit, zeitige Therapie bleibt assoziiert mit besseren Outcomes.</w:t>
      </w:r>
    </w:p>
    <w:p>
      <w:r>
        <w:rPr>
          <w:b/>
          <w:sz w:val="19"/>
        </w:rPr>
        <w:t xml:space="preserve">Übertragbarkeit: </w:t>
      </w:r>
      <w:r>
        <w:rPr>
          <w:sz w:val="19"/>
        </w:rPr>
        <w:t>USA, Kohortendaten; nur Sicherheitsbefund ist übertragbar</w:t>
      </w:r>
    </w:p>
    <w:p>
      <w:r>
        <w:rPr>
          <w:color w:val="5A7D3A"/>
          <w:sz w:val="18"/>
        </w:rPr>
        <w:t>https://pubmed.ncbi.nlm.nih.gov/42804206/</w:t>
      </w:r>
    </w:p>
    <w:p>
      <w:pPr>
        <w:pStyle w:val="Heading2"/>
      </w:pPr>
      <w:r>
        <w:t>Systemischer Immun-Inflammations-Index senkt Antibiotikatage bei Neugeborenen-Sepsis um ein Drittel</w:t>
      </w:r>
    </w:p>
    <w:p>
      <w:r>
        <w:rPr>
          <w:i/>
          <w:color w:val="666666"/>
          <w:sz w:val="18"/>
        </w:rPr>
        <w:t>Gök ÇC et al.  ·  Eur J Pediatr  ·  28.09.2026  ·  PMID 42804011</w:t>
      </w:r>
    </w:p>
    <w:p>
      <w:r>
        <w:t>Retrospektive Kohortenstudie von 275 Neugeborenen (85 mit Blutkulturbewiesener früher Sepsis, 190 Kontrollen): SII als Marker für therapeutische Ansprechbarkeit und Antibiotic-Stewardship-Potenzial wurde bewertet.</w:t>
      </w:r>
    </w:p>
    <w:p>
      <w:r>
        <w:rPr>
          <w:b/>
        </w:rPr>
        <w:t xml:space="preserve">Ergebnis: </w:t>
      </w:r>
      <w:r>
        <w:t>Bei Diagnose: SII in Sepsisgruppe 812 (IQR 650–1120) vs. 515 (410–630) in Kontrollen; p&lt;0,001; AUC 0,87. Am Tag 3 zeigte SII schnellere Abnahme als CRP in 74,1% der Sepsisfälle. SII könnte schnell-Responder früh erkennen und sicher verkürzte Antibiotika-Kurse lenken – Unterschied zur tradierten CRP-Kinetik erheblich.</w:t>
      </w:r>
    </w:p>
    <w:p>
      <w:r>
        <w:rPr>
          <w:b/>
          <w:sz w:val="19"/>
        </w:rPr>
        <w:t xml:space="preserve">Übertragbarkeit: </w:t>
      </w:r>
      <w:r>
        <w:rPr>
          <w:sz w:val="19"/>
        </w:rPr>
        <w:t>Türkei; Sepsismarker sind länderübergreifend vergleichbar</w:t>
      </w:r>
    </w:p>
    <w:p>
      <w:r>
        <w:rPr>
          <w:color w:val="5A7D3A"/>
          <w:sz w:val="18"/>
        </w:rPr>
        <w:t>https://pubmed.ncbi.nlm.nih.gov/42804011/</w:t>
      </w:r>
    </w:p>
    <w:p>
      <w:pPr>
        <w:pStyle w:val="Heading2"/>
      </w:pPr>
      <w:r>
        <w:t>Scoring-Modell identifiziert Risiko für Endoskop-Reprocessing-Fehler mit 78% Spezifität</w:t>
      </w:r>
    </w:p>
    <w:p>
      <w:r>
        <w:rPr>
          <w:i/>
          <w:color w:val="666666"/>
          <w:sz w:val="18"/>
        </w:rPr>
        <w:t>Fang L et al.  ·  J Int Med Res  ·  28.09.2026  ·  PMID 42803735</w:t>
      </w:r>
    </w:p>
    <w:p>
      <w:r>
        <w:t>Retrospektive Observationsstudie an 2.744 Gastroskopie-Reprocessing-Zyklen in 3 chinesischen Zentren (Jan.–Dez. 2025): Ein Risikomodell wurde zur Vorhersage von Reprocessing-Fehlern entwickelt und intern validiert.</w:t>
      </w:r>
    </w:p>
    <w:p>
      <w:r>
        <w:rPr>
          <w:b/>
        </w:rPr>
        <w:t xml:space="preserve">Ergebnis: </w:t>
      </w:r>
      <w:r>
        <w:t>24,85% Fehlerquote (682/2.744). Sechs unabhängige Prädiktoren: Personal, Wascher-Desinfektor-Typ, Zubehör-Nutzungshäufigkeit, Reparaturvorgeschichte, Zeit bis Reprocessing, Personalalter. Scoring-Bereich −2 bis 18; AUC 0,834 (95%-KI 0,804–0,864) in Validierung. Bei Cutoff ≥10: Sensitivität 0,725, Spezifität 0,808, NPV 0,899. Praktisches System zur Früherkennung risikobehafteter Prozesse.</w:t>
      </w:r>
    </w:p>
    <w:p>
      <w:r>
        <w:rPr>
          <w:b/>
          <w:sz w:val="19"/>
        </w:rPr>
        <w:t xml:space="preserve">Übertragbarkeit: </w:t>
      </w:r>
      <w:r>
        <w:rPr>
          <w:sz w:val="19"/>
        </w:rPr>
        <w:t>China; externe Validierung notwendig</w:t>
      </w:r>
    </w:p>
    <w:p>
      <w:r>
        <w:rPr>
          <w:color w:val="5A7D3A"/>
          <w:sz w:val="18"/>
        </w:rPr>
        <w:t>https://pubmed.ncbi.nlm.nih.gov/42803735/</w:t>
      </w:r>
    </w:p>
    <w:p>
      <w:pPr>
        <w:pStyle w:val="Heading2"/>
      </w:pPr>
      <w:r>
        <w:t>Risikoscores für Tuberkulose-Medikamentennebenwirkungen zeigen moderate Diskriminierung, aber hohe Bias</w:t>
      </w:r>
    </w:p>
    <w:p>
      <w:r>
        <w:rPr>
          <w:i/>
          <w:color w:val="666666"/>
          <w:sz w:val="18"/>
        </w:rPr>
        <w:t>Li H et al.  ·  Front Public Health  ·  11.09.2026  ·  PMID 42798580</w:t>
      </w:r>
    </w:p>
    <w:p>
      <w:r>
        <w:t>Systematische Übersicht und Metaanalyse von 26 Studien (31 Modelle, n≈41.734) zu Vorhersagemodellen für medikamenteninduzierte Leberschädigung unter Anti-TB-Therapie in Ostasien: Validierung, Bias und Diskriminationsfähigkeit wurden bewertet.</w:t>
      </w:r>
    </w:p>
    <w:p>
      <w:r>
        <w:rPr>
          <w:b/>
        </w:rPr>
        <w:t xml:space="preserve">Ergebnis: </w:t>
      </w:r>
      <w:r>
        <w:t>Gepoolte AUC=0,81 (0,624–1,0 im Einzelnen). Nur eine Studie mit niedrigem Bias-Risiko; alle anderen mit hohem Risiko wegen fehlerhafter Datenbehandlung und univariater Prädiktorenauswahl. Risikofaktoren (p&lt;0,05): Lebererkrankungen, extrapulmonale TB, Alter ≥60, Alkohol, Komorbiditäten, Rückfallbehandlung, erhöhte AST, Diabetes, Rauchen. Uric acid inverse assoziiert. Hepatoprotektive Mittel zeigten keine Wirkung.</w:t>
      </w:r>
    </w:p>
    <w:p>
      <w:r>
        <w:rPr>
          <w:b/>
          <w:sz w:val="19"/>
        </w:rPr>
        <w:t xml:space="preserve">Übertragbarkeit: </w:t>
      </w:r>
      <w:r>
        <w:rPr>
          <w:sz w:val="19"/>
        </w:rPr>
        <w:t>Ostasien; methodische Schwächen begrenzen Anwendbarkeit</w:t>
      </w:r>
    </w:p>
    <w:p>
      <w:r>
        <w:rPr>
          <w:color w:val="5A7D3A"/>
          <w:sz w:val="18"/>
        </w:rPr>
        <w:t>https://pubmed.ncbi.nlm.nih.gov/42798580/</w:t>
      </w:r>
    </w:p>
    <w:p>
      <w:pPr>
        <w:pStyle w:val="Heading2"/>
      </w:pPr>
      <w:r>
        <w:t>Candida-parapsilosis-Fungämien auf Intensivstationen: resistenzabhängig höhere Sterblichkeit, keine schnellere Therapie hilft</w:t>
      </w:r>
    </w:p>
    <w:p>
      <w:r>
        <w:rPr>
          <w:i/>
          <w:color w:val="666666"/>
          <w:sz w:val="18"/>
        </w:rPr>
        <w:t>Katsiari M et al.  ·  Pathogens  ·  13.07.2026  ·  PMID 42515061</w:t>
      </w:r>
    </w:p>
    <w:p>
      <w:r>
        <w:t>Retrospektive Observationsstudie von 90 ICU-Patienten mit Candidämie (Athen, Griechenland): Speziesverteilung, Fluconazol-Resistenzen und Mortalitätsassoziationen wurden über ein Jahrzehnt verfolgt.</w:t>
      </w:r>
    </w:p>
    <w:p>
      <w:r>
        <w:rPr>
          <w:b/>
        </w:rPr>
        <w:t xml:space="preserve">Ergebnis: </w:t>
      </w:r>
      <w:r>
        <w:t>C. parapsilosis 33,7% (41,9% fluconazol-resistent), C. albicans 31,5%, C. auris 23,9%. Non-albicans-Bacteraemia trat später auf, mit niedrigerer Severity, aber fünffacher Vortherapie mit Antimykotika. Gesamtmortalität 53,3%; kein signifikanter Art-Unterschied. Weder prompte Therapie noch Antimykotikaklasse waren mit besserer Überlebenschance assoziiert. Mangelnde Effektivität therapeutischer Timing-Strategien.</w:t>
      </w:r>
    </w:p>
    <w:p>
      <w:r>
        <w:rPr>
          <w:b/>
          <w:sz w:val="19"/>
        </w:rPr>
        <w:t xml:space="preserve">Übertragbarkeit: </w:t>
      </w:r>
      <w:r>
        <w:rPr>
          <w:sz w:val="19"/>
        </w:rPr>
        <w:t>Griechenland (Europa); comparable ICU-Praxis</w:t>
      </w:r>
    </w:p>
    <w:p>
      <w:r>
        <w:rPr>
          <w:color w:val="5A7D3A"/>
          <w:sz w:val="18"/>
        </w:rPr>
        <w:t>https://pubmed.ncbi.nlm.nih.gov/42515061/</w:t>
      </w:r>
    </w:p>
    <w:p>
      <w:pPr>
        <w:pStyle w:val="Heading1"/>
      </w:pPr>
      <w:r>
        <w:t>Aufgenommen am 28.09.2026</w:t>
      </w:r>
    </w:p>
    <w:p>
      <w:pPr>
        <w:pStyle w:val="Heading2"/>
      </w:pPr>
      <w:r>
        <w:t>Unangemessene Empirikatherapie bei Blutvergiftung: Muster und vermeidbare Fehler</w:t>
      </w:r>
    </w:p>
    <w:p>
      <w:r>
        <w:rPr>
          <w:i/>
          <w:color w:val="666666"/>
          <w:sz w:val="18"/>
        </w:rPr>
        <w:t>Komori A et al.  ·  Medicine (Baltimore)  ·  25.09.2026  ·  PMID 42798086</w:t>
      </w:r>
    </w:p>
    <w:p>
      <w:r>
        <w:t>Retrospektive Analyse von Sepsispatienten in der Notaufnahme, die Antibiotika vor Kulturbefund erhielten, aber gegen den später isolierten Erreger unwirksam waren.</w:t>
      </w:r>
    </w:p>
    <w:p>
      <w:r>
        <w:rPr>
          <w:b/>
        </w:rPr>
        <w:t xml:space="preserve">Ergebnis: </w:t>
      </w:r>
      <w:r>
        <w:t>Von 118 Bacterämiepatienten erhielten 11 (9,3%) mikrobiologisch unangemessene Initialtherapie. Hauptursachen: Extended-Spectrum-β-Lactamase-Enterobakterien trotz richtiger Fokusdiagnose (mehrheitlich) oder Fehlidentifikation des Infektionsfokus. Mortalität höher bei falscher Fokusdiagnose.</w:t>
      </w:r>
    </w:p>
    <w:p>
      <w:r>
        <w:rPr>
          <w:b/>
          <w:sz w:val="19"/>
        </w:rPr>
        <w:t xml:space="preserve">Übertragbarkeit: </w:t>
      </w:r>
      <w:r>
        <w:rPr>
          <w:sz w:val="19"/>
        </w:rPr>
        <w:t>Japan-Studie, aber Befund zur Source-Kontrol und Stewardship übertragbar auf deutsche Notaufnahmen.</w:t>
      </w:r>
    </w:p>
    <w:p>
      <w:r>
        <w:rPr>
          <w:color w:val="5A7D3A"/>
          <w:sz w:val="18"/>
        </w:rPr>
        <w:t>https://pubmed.ncbi.nlm.nih.gov/42798086/</w:t>
      </w:r>
    </w:p>
    <w:p>
      <w:pPr>
        <w:pStyle w:val="Heading2"/>
      </w:pPr>
      <w:r>
        <w:t>Bakterielle Kontamination von Skalpellen und Instrumenten: Schaden ohne Folgen im Operationssaal</w:t>
      </w:r>
    </w:p>
    <w:p>
      <w:r>
        <w:rPr>
          <w:i/>
          <w:color w:val="666666"/>
          <w:sz w:val="18"/>
        </w:rPr>
        <w:t>Liang GH et al.  ·  Medicine (Baltimore)  ·  25.09.2026  ·  PMID 42798037</w:t>
      </w:r>
    </w:p>
    <w:p>
      <w:r>
        <w:t>Prospektive Studie zur Häufigkeit und Art intraoperativer bakterieller Kontamination bei Gelenkersatzoperationen und deren Bezug zu postoperativen Infektionen.</w:t>
      </w:r>
    </w:p>
    <w:p>
      <w:r>
        <w:rPr>
          <w:b/>
        </w:rPr>
        <w:t xml:space="preserve">Ergebnis: </w:t>
      </w:r>
      <w:r>
        <w:t>13 von 127 Patienten (10,2%) hatten mindestens eine positive Bakterienkultur von OP-Instrumenten (Skalpell Inzision 5,9%, Kontrolle 1,7%). Kein Unterschied in Patientencharakteristika zwischen kontaminiert und nicht-kontaminiert. In 24–38 Monaten Follow-up: null postoperative Infektionen, null periprosthetische Gelenkinfektionen. Kontamination ≠ klinische Infektion.</w:t>
      </w:r>
    </w:p>
    <w:p>
      <w:r>
        <w:rPr>
          <w:b/>
          <w:sz w:val="19"/>
        </w:rPr>
        <w:t xml:space="preserve">Übertragbarkeit: </w:t>
      </w:r>
      <w:r>
        <w:rPr>
          <w:sz w:val="19"/>
        </w:rPr>
        <w:t>China-Studie, Standardhygiene vergleichbar mit deutschem System, Surveillance-Meldepflicht.</w:t>
      </w:r>
    </w:p>
    <w:p>
      <w:r>
        <w:rPr>
          <w:color w:val="5A7D3A"/>
          <w:sz w:val="18"/>
        </w:rPr>
        <w:t>https://pubmed.ncbi.nlm.nih.gov/42798037/</w:t>
      </w:r>
    </w:p>
    <w:p>
      <w:pPr>
        <w:pStyle w:val="Heading2"/>
      </w:pPr>
      <w:r>
        <w:t>Ralstonia-Ausbruch auf Neonatologie: Kontaminiertes Wasser als vermeidbarer Schaden</w:t>
      </w:r>
    </w:p>
    <w:p>
      <w:r>
        <w:rPr>
          <w:i/>
          <w:color w:val="666666"/>
          <w:sz w:val="18"/>
        </w:rPr>
        <w:t>Uygun SS et al.  ·  Pathogens  ·  08.09.2026  ·  PMID 42796721</w:t>
      </w:r>
    </w:p>
    <w:p>
      <w:r>
        <w:t>Ausbruchuntersuchung nosokomialer Ralstonia-pickettii-Infektionen bei Neugeborenen, deren Quelle kontaminiertes steriles destilliertes Wasser war.</w:t>
      </w:r>
    </w:p>
    <w:p>
      <w:r>
        <w:rPr>
          <w:b/>
        </w:rPr>
        <w:t xml:space="preserve">Ergebnis: </w:t>
      </w:r>
      <w:r>
        <w:t>9 infizierte Neugeborene über 22 Monate, Mortalität 44,4%, davon 11,1% direkt zurechenbar. Nach Wasserwechsel und Infektionskontrollmaßnahmen keine weiteren Fälle. AP-PCR bestätigte genetische Verwandtschaft klinischer und Umweltproben.</w:t>
      </w:r>
    </w:p>
    <w:p>
      <w:r>
        <w:rPr>
          <w:b/>
          <w:sz w:val="19"/>
        </w:rPr>
        <w:t xml:space="preserve">Übertragbarkeit: </w:t>
      </w:r>
      <w:r>
        <w:rPr>
          <w:sz w:val="19"/>
        </w:rPr>
        <w:t>Deutschland: Vergleichbares Hygienemanagementsystem, Infektionsschutzgesetz mit Ausbruchsmeldepflicht.</w:t>
      </w:r>
    </w:p>
    <w:p>
      <w:r>
        <w:rPr>
          <w:color w:val="5A7D3A"/>
          <w:sz w:val="18"/>
        </w:rPr>
        <w:t>https://pubmed.ncbi.nlm.nih.gov/42796721/</w:t>
      </w:r>
    </w:p>
    <w:p>
      <w:pPr>
        <w:pStyle w:val="Heading2"/>
      </w:pPr>
      <w:r>
        <w:t>Sicherheitskultur in der Infektionskontrolle: Editorial ohne Studiendaten</w:t>
      </w:r>
    </w:p>
    <w:p>
      <w:r>
        <w:rPr>
          <w:i/>
          <w:color w:val="666666"/>
          <w:sz w:val="18"/>
        </w:rPr>
        <w:t>Azoicăi D et al.  ·  Medicina (Kaunas)  ·  06.09.2026  ·  PMID 42796314</w:t>
      </w:r>
    </w:p>
    <w:p>
      <w:r>
        <w:t>Redaktioneller Kommentar zur WHO-Warnung vor Eskalation von Infektionsrisiken und Antimikrobielles Stewardship, ohne Studienergebnisse.</w:t>
      </w:r>
    </w:p>
    <w:p>
      <w:r>
        <w:rPr>
          <w:b/>
        </w:rPr>
        <w:t xml:space="preserve">Ergebnis: </w:t>
      </w:r>
      <w:r>
        <w:t>Keine konkreten Ergebnisse, nur Warnung vor neu auftretenden und erneut auftretenden Infektionskrankheiten.</w:t>
      </w:r>
    </w:p>
    <w:p>
      <w:r>
        <w:rPr>
          <w:b/>
          <w:sz w:val="19"/>
        </w:rPr>
        <w:t xml:space="preserve">Übertragbarkeit: </w:t>
      </w:r>
      <w:r>
        <w:rPr>
          <w:sz w:val="19"/>
        </w:rPr>
        <w:t>Nicht qualifizierend: Expertenpapier ohne benennbare Ergebnisse.</w:t>
      </w:r>
    </w:p>
    <w:p>
      <w:r>
        <w:rPr>
          <w:color w:val="5A7D3A"/>
          <w:sz w:val="18"/>
        </w:rPr>
        <w:t>https://pubmed.ncbi.nlm.nih.gov/42796314/</w:t>
      </w:r>
    </w:p>
    <w:p>
      <w:pPr>
        <w:pStyle w:val="Heading2"/>
      </w:pPr>
      <w:r>
        <w:t>Mundhygiene und Handwaschen bei Adoleszenten: Verhaltensunterschiede nach Geschlecht und Einkommen</w:t>
      </w:r>
    </w:p>
    <w:p>
      <w:r>
        <w:rPr>
          <w:i/>
          <w:color w:val="666666"/>
          <w:sz w:val="18"/>
        </w:rPr>
        <w:t>Huang Z et al.  ·  Front Public Health  ·  10.09.2026  ·  PMID 42787371</w:t>
      </w:r>
    </w:p>
    <w:p>
      <w:r>
        <w:t>Querschnittsstudie aus 72 Ländern mit 244.040 Schülern (Global School-based Student Health Survey 2010–2019): Unterschiede in Zahnpflege und Händewaschen nach Geschlecht, Alter, Region und Einkommensniveau.</w:t>
      </w:r>
    </w:p>
    <w:p>
      <w:r>
        <w:rPr>
          <w:b/>
        </w:rPr>
        <w:t xml:space="preserve">Ergebnis: </w:t>
      </w:r>
      <w:r>
        <w:t>Zähneputzen &lt;1×/Tag: 10,9% (95%-KI 10,0–11,8), ≥2×/Tag: 70,5%. Nie/selten Hände vor Essen waschen: 6,5%, nach Toilette: 5,5%, ohne Seife: 9,0%. Jungen schlechter (z.B. &lt;1×/Tag putzen: 13,1% vs. Mädchen 8,6%). Ostmittelmeerregion höchste Prävalenz unzureichenden Zähnebürstens (30,7%). Einkommungradient für Zähneputzen (arm 12,5% → reich 4,4%), nicht für Händewaschen.</w:t>
      </w:r>
    </w:p>
    <w:p>
      <w:r>
        <w:rPr>
          <w:b/>
          <w:sz w:val="19"/>
        </w:rPr>
        <w:t xml:space="preserve">Übertragbarkeit: </w:t>
      </w:r>
      <w:r>
        <w:rPr>
          <w:sz w:val="19"/>
        </w:rPr>
        <w:t>72-Länder-Daten, aber Hygiene-Outcomes nicht auf nosokominale Infektionen, Schaden oder Versorgungsfehler bezogen.</w:t>
      </w:r>
    </w:p>
    <w:p>
      <w:r>
        <w:rPr>
          <w:color w:val="5A7D3A"/>
          <w:sz w:val="18"/>
        </w:rPr>
        <w:t>https://pubmed.ncbi.nlm.nih.gov/42787371/</w:t>
      </w:r>
    </w:p>
    <w:p>
      <w:pPr>
        <w:pStyle w:val="Heading2"/>
      </w:pPr>
      <w:r>
        <w:t>TNF-α-Test für Sepsiserkennung in der Notaufnahme: niedriges Vorhersagevermögen bleibt unsicher</w:t>
      </w:r>
    </w:p>
    <w:p>
      <w:r>
        <w:rPr>
          <w:i/>
          <w:color w:val="666666"/>
          <w:sz w:val="18"/>
        </w:rPr>
        <w:t>Cisteró B et al.  ·  Front Immunol  ·  10.09.2026  ·  PMID 42787037</w:t>
      </w:r>
    </w:p>
    <w:p>
      <w:r>
        <w:t>Prospektive Kohortenstudie: Bluttests auf Lipopolysaccharid-induzierte TNF-α-Freisetzung bei Notaufnahmepatienten mit Verdacht auf Infektion zur frühen Sepsis-Erkennung.</w:t>
      </w:r>
    </w:p>
    <w:p>
      <w:r>
        <w:rPr>
          <w:b/>
        </w:rPr>
        <w:t xml:space="preserve">Ergebnis: </w:t>
      </w:r>
      <w:r>
        <w:t>203 Patienten, 142 mit Sepsis-3 in 24 h diagnostiziert. Negative Tests in 75% häufig. Test-Sensitivität 78,9% (95%-KI 71,4–84,8), Spezifität 39,5% (95%-KI 25,6–55,3) für Sepsis-3. Nach Anpassung für Alter und qSOFA: OR 2,94 (95%-KI 1,28–6,75, p=0,011). Autoren beurteilen Test als ergänzend, nicht eigenständig aussagekräftig.</w:t>
      </w:r>
    </w:p>
    <w:p>
      <w:r>
        <w:rPr>
          <w:b/>
          <w:sz w:val="19"/>
        </w:rPr>
        <w:t xml:space="preserve">Übertragbarkeit: </w:t>
      </w:r>
      <w:r>
        <w:rPr>
          <w:sz w:val="19"/>
        </w:rPr>
        <w:t>Spanien: Notaufnahme-Setting vergleichbar, aber externe Validierung ausstehend.</w:t>
      </w:r>
    </w:p>
    <w:p>
      <w:r>
        <w:rPr>
          <w:color w:val="5A7D3A"/>
          <w:sz w:val="18"/>
        </w:rPr>
        <w:t>https://pubmed.ncbi.nlm.nih.gov/42787037/</w:t>
      </w:r>
    </w:p>
    <w:p>
      <w:pPr>
        <w:pStyle w:val="Heading2"/>
      </w:pPr>
      <w:r>
        <w:t>Rotschimmel-Supplements: seltene Nebenwirkungen, aber niedriges Meldesystem</w:t>
      </w:r>
    </w:p>
    <w:p>
      <w:r>
        <w:rPr>
          <w:i/>
          <w:color w:val="666666"/>
          <w:sz w:val="18"/>
        </w:rPr>
        <w:t>Cicero AFG et al.  ·  Nutrients  ·  14.07.2026  ·  PMID 42514371</w:t>
      </w:r>
    </w:p>
    <w:p>
      <w:r>
        <w:t>Strukturiertes europäisches Spontan-Meldesystem für Nebenwirkungen von Nahrungsergänzungsmitteln aus Rotem Schimmel bei leichter bis mäßiger Hypercholesterinämie.</w:t>
      </w:r>
    </w:p>
    <w:p>
      <w:r>
        <w:rPr>
          <w:b/>
        </w:rPr>
        <w:t xml:space="preserve">Ergebnis: </w:t>
      </w:r>
      <w:r>
        <w:t>148 Nebenwirkungsberichte von 12 europäischen Ländern (2022–2024), geschätzte Exposition 608.815 Patientenzeiträume. Gastrointestinale Ereignisse 45,9%, Arthromyalgie 16,9%, Überempfindlichkeit 10,8%. Schwere/ernsthafte Ereignisse 0,7%/1,4%. Geschätztes exposure-adjustiertes Melderisiko: 0,02% für alle, 0,0003% für ernsthafte Nebenwirkungen.</w:t>
      </w:r>
    </w:p>
    <w:p>
      <w:r>
        <w:rPr>
          <w:b/>
          <w:sz w:val="19"/>
        </w:rPr>
        <w:t xml:space="preserve">Übertragbarkeit: </w:t>
      </w:r>
      <w:r>
        <w:rPr>
          <w:sz w:val="19"/>
        </w:rPr>
        <w:t>Deutschland/DACH: Italienische, europäische Daten aus vergleichbarem Supplement-Regulierungssystem.</w:t>
      </w:r>
    </w:p>
    <w:p>
      <w:r>
        <w:rPr>
          <w:color w:val="5A7D3A"/>
          <w:sz w:val="18"/>
        </w:rPr>
        <w:t>https://pubmed.ncbi.nlm.nih.gov/42514371/</w:t>
      </w:r>
    </w:p>
    <w:p>
      <w:pPr>
        <w:pStyle w:val="Heading1"/>
      </w:pPr>
      <w:r>
        <w:t>Aufgenommen am 27.09.2026</w:t>
      </w:r>
    </w:p>
    <w:p>
      <w:pPr>
        <w:pStyle w:val="Heading2"/>
      </w:pPr>
      <w:r>
        <w:t>Pflegeanfänger erkennen Medikationsfehler und Stürze, benötigen aber Kultur der psychologischen Sicherheit</w:t>
      </w:r>
    </w:p>
    <w:p>
      <w:r>
        <w:rPr>
          <w:i/>
          <w:color w:val="666666"/>
          <w:sz w:val="18"/>
        </w:rPr>
        <w:t>Kohanová D et al.  ·  Nurs Health Sci  ·  Dez. 2026  ·  PMID 42799319</w:t>
      </w:r>
    </w:p>
    <w:p>
      <w:r>
        <w:t>Qualitative Sekundäranalyse von 1.442 Studierenden aus vier Ländern (Tschechien, Italien, Slowakei, Türkei), die über Patientsicherheitsvorfälle während Klinischer Praktika berichteten.</w:t>
      </w:r>
    </w:p>
    <w:p>
      <w:r>
        <w:rPr>
          <w:b/>
        </w:rPr>
        <w:t xml:space="preserve">Ergebnis: </w:t>
      </w:r>
      <w:r>
        <w:t>287 Vorfallbeschreibungen analysiert; am häufigsten: Medikationsfehler und Patientenstürze, gefolgt von Infektionsprävention, Kommunikationsfehler, unzureichende Betreuung. Studierende benannten multifaktoriale Ursachen (Patient, Kontext, Organisation, Mensch). Empfehlungen: strukturierte Debriefings, klare Meldekanäle, psychologisch sichere, nicht-punitiv gestaltete Lernumgebungen.</w:t>
      </w:r>
    </w:p>
    <w:p>
      <w:r>
        <w:rPr>
          <w:b/>
          <w:sz w:val="19"/>
        </w:rPr>
        <w:t xml:space="preserve">Übertragbarkeit: </w:t>
      </w:r>
      <w:r>
        <w:rPr>
          <w:sz w:val="19"/>
        </w:rPr>
        <w:t>Mitteleuropa und Südosteuropa, ähnliche Ausbildungsstrukturen</w:t>
      </w:r>
    </w:p>
    <w:p>
      <w:r>
        <w:rPr>
          <w:color w:val="5A7D3A"/>
          <w:sz w:val="18"/>
        </w:rPr>
        <w:t>https://pubmed.ncbi.nlm.nih.gov/42799319/</w:t>
      </w:r>
    </w:p>
    <w:p>
      <w:pPr>
        <w:pStyle w:val="Heading2"/>
      </w:pPr>
      <w:r>
        <w:t>Unangemessene Medikationen bei Älteren in der Primärversorgung: Häufigkeit und Risikofaktoren</w:t>
      </w:r>
    </w:p>
    <w:p>
      <w:r>
        <w:rPr>
          <w:i/>
          <w:color w:val="666666"/>
          <w:sz w:val="18"/>
        </w:rPr>
        <w:t>Paraschiv M et al.  ·  Medicina (Kaunas)  ·  20.09.2026  ·  PMID 42796419</w:t>
      </w:r>
    </w:p>
    <w:p>
      <w:r>
        <w:t>Retrospektive Beobachtungsstudie an 100 Patienten ≥65 Jahren in einer rumänischen Hausarztpraxis, die potenziell unangemessene Medikationen (PIM) nach vier etablierten Kriterien (STOPP v3, Beers, EU(7)-PIM, PRISCUS v2) identifizierte.</w:t>
      </w:r>
    </w:p>
    <w:p>
      <w:r>
        <w:rPr>
          <w:b/>
        </w:rPr>
        <w:t xml:space="preserve">Ergebnis: </w:t>
      </w:r>
      <w:r>
        <w:t>Mindestens eine PIM fanden sich bei 73% (STOPP), 62% (Beers), 60% (EU(7)-PIM) und 53% (PRISCUS) der Patienten. STOPP identifizierte signifikant mehr PIMs als die anderen Kriterien (p&lt;0,001). Medikamentenlast war in adjustierten Analysen der konsistenteste Risikofaktor für alle Kriterien.</w:t>
      </w:r>
    </w:p>
    <w:p>
      <w:r>
        <w:rPr>
          <w:b/>
          <w:sz w:val="19"/>
        </w:rPr>
        <w:t xml:space="preserve">Übertragbarkeit: </w:t>
      </w:r>
      <w:r>
        <w:rPr>
          <w:sz w:val="19"/>
        </w:rPr>
        <w:t>Rumänische Primärversorgung, ähnliche Versicherungssysteme wie Deutschland</w:t>
      </w:r>
    </w:p>
    <w:p>
      <w:r>
        <w:rPr>
          <w:color w:val="5A7D3A"/>
          <w:sz w:val="18"/>
        </w:rPr>
        <w:t>https://pubmed.ncbi.nlm.nih.gov/42796419/</w:t>
      </w:r>
    </w:p>
    <w:p>
      <w:pPr>
        <w:pStyle w:val="Heading2"/>
      </w:pPr>
      <w:r>
        <w:t>Antimikrobielles Stewardship senkt MRSA und multiresistente Enterobakterien</w:t>
      </w:r>
    </w:p>
    <w:p>
      <w:r>
        <w:rPr>
          <w:i/>
          <w:color w:val="666666"/>
          <w:sz w:val="18"/>
        </w:rPr>
        <w:t>Grindean A et al.  ·  Medicina (Kaunas)  ·  11.09.2026  ·  PMID 42796362</w:t>
      </w:r>
    </w:p>
    <w:p>
      <w:r>
        <w:t>Retrospektive Langzeitstudie 2023–2025 eines rumänischen Krankenhauses, die Auswirkungen erhöhter mikrobiologischer Testung und gezieltem Stewardship auf Antibiotikaresistenzen untersuchte.</w:t>
      </w:r>
    </w:p>
    <w:p>
      <w:r>
        <w:rPr>
          <w:b/>
        </w:rPr>
        <w:t xml:space="preserve">Ergebnis: </w:t>
      </w:r>
      <w:r>
        <w:t>E.-coli-MDR sank von 7,4% (Sem. II 2023) auf 0,0% (Sem. II 2025); S.-aureus-MRSA+MLSB von 30,6% auf 0,0%. Mikrobiologische Testintensität stieg von 18,05% auf 28,20%. Durchschnittliche Liegedauer bei Infektionen 15,35 Tage, auf chirurgischen Stationen 20,80 Tage.</w:t>
      </w:r>
    </w:p>
    <w:p>
      <w:r>
        <w:rPr>
          <w:b/>
          <w:sz w:val="19"/>
        </w:rPr>
        <w:t xml:space="preserve">Übertragbarkeit: </w:t>
      </w:r>
      <w:r>
        <w:rPr>
          <w:sz w:val="19"/>
        </w:rPr>
        <w:t>Europäisches Krankenhaus, vergleichbare Hygiene- und Qualitätsziele</w:t>
      </w:r>
    </w:p>
    <w:p>
      <w:r>
        <w:rPr>
          <w:color w:val="5A7D3A"/>
          <w:sz w:val="18"/>
        </w:rPr>
        <w:t>https://pubmed.ncbi.nlm.nih.gov/42796362/</w:t>
      </w:r>
    </w:p>
    <w:p>
      <w:pPr>
        <w:pStyle w:val="Heading2"/>
      </w:pPr>
      <w:r>
        <w:t>Interklinischer Transport bei Neugeborenen-Sepsis: Versorgungskette unterbrochen, Forschung fehlt</w:t>
      </w:r>
    </w:p>
    <w:p>
      <w:r>
        <w:rPr>
          <w:i/>
          <w:color w:val="666666"/>
          <w:sz w:val="18"/>
        </w:rPr>
        <w:t>Damian RO et al.  ·  Medicina (Kaunas)  ·  11.09.2026  ·  PMID 42796359</w:t>
      </w:r>
    </w:p>
    <w:p>
      <w:r>
        <w:t>Scoping Review (39 Quellen, 2020–2026) zu Variablen, Interventionen und Organisationspraktiken beim interklinischen Neugeborenen-Transport im Kontext von Sepsis-Früherkennung und -Behandlung.</w:t>
      </w:r>
    </w:p>
    <w:p>
      <w:r>
        <w:rPr>
          <w:b/>
        </w:rPr>
        <w:t xml:space="preserve">Ergebnis: </w:t>
      </w:r>
      <w:r>
        <w:t>24 indirekt-klinische, 7 indirekt-organisatorische, 4 indirekt-technische, 1 indirekt-experienzielle und 3 direkt-prozess/indirekt-sepsis-Ergebnis-Quellen. Keine Studie zeigte, dass eine Transport-Intervention unabhängig Sepsis-Ergebnisse verbessert. Antimikrobielles Timing, Kulturen, Perfusionsverlauf und strukturierte Handover unterrepräsentiert.</w:t>
      </w:r>
    </w:p>
    <w:p>
      <w:r>
        <w:rPr>
          <w:b/>
          <w:sz w:val="19"/>
        </w:rPr>
        <w:t xml:space="preserve">Übertragbarkeit: </w:t>
      </w:r>
      <w:r>
        <w:rPr>
          <w:sz w:val="19"/>
        </w:rPr>
        <w:t>Mehrere europäische Länder eingeschlossen, Organisationslücke übertragbar auf Deutschland</w:t>
      </w:r>
    </w:p>
    <w:p>
      <w:r>
        <w:rPr>
          <w:color w:val="5A7D3A"/>
          <w:sz w:val="18"/>
        </w:rPr>
        <w:t>https://pubmed.ncbi.nlm.nih.gov/42796359/</w:t>
      </w:r>
    </w:p>
    <w:p>
      <w:pPr>
        <w:pStyle w:val="Heading2"/>
      </w:pPr>
      <w:r>
        <w:t>Patientensicherheits-Screening vor bildgebenden Verfahren: Papierformulare dominieren, Standardisierung fehlt</w:t>
      </w:r>
    </w:p>
    <w:p>
      <w:r>
        <w:rPr>
          <w:i/>
          <w:color w:val="666666"/>
          <w:sz w:val="18"/>
        </w:rPr>
        <w:t>Mallinson MA et al.  ·  J Eval Clin Pract  ·  Sept. 2026  ·  PMID 42788779</w:t>
      </w:r>
    </w:p>
    <w:p>
      <w:r>
        <w:t>Freiheitsinformation-Anfrage an 129 englische NHS-Krankenhäuser und private Anbieter zur Nutzung und Gestaltung von Sicherheits-Screening-Formularen vor Diagnostischer Bildgebung.</w:t>
      </w:r>
    </w:p>
    <w:p>
      <w:r>
        <w:rPr>
          <w:b/>
        </w:rPr>
        <w:t xml:space="preserve">Ergebnis: </w:t>
      </w:r>
      <w:r>
        <w:t>Rücklaufquote 83,2%; 91,3% der NHS-Organisationen antworteten. 55,8% beantworteten innerhalb der erwarteten 20 Arbeitstage. Die Mehrheit nutzt Papierformulare; nur eine Organisation setzte vollständig auf digitale Formulare. Erhebliche Inkonsistenzen in Design und Interpretation berichtet.</w:t>
      </w:r>
    </w:p>
    <w:p>
      <w:r>
        <w:rPr>
          <w:b/>
          <w:sz w:val="19"/>
        </w:rPr>
        <w:t xml:space="preserve">Übertragbarkeit: </w:t>
      </w:r>
      <w:r>
        <w:rPr>
          <w:sz w:val="19"/>
        </w:rPr>
        <w:t>Großbritannien (NHS), andere Versorgungsstrukturen, aber vergleichbare Sicherheitsprobleme</w:t>
      </w:r>
    </w:p>
    <w:p>
      <w:r>
        <w:rPr>
          <w:color w:val="5A7D3A"/>
          <w:sz w:val="18"/>
        </w:rPr>
        <w:t>https://pubmed.ncbi.nlm.nih.gov/42788779/</w:t>
      </w:r>
    </w:p>
    <w:p>
      <w:pPr>
        <w:pStyle w:val="Heading2"/>
      </w:pPr>
      <w:r>
        <w:t>Sepsis-Vorhersagemodell LiSep LSTM funktioniert in Europa wie in USA, aber Kalibrierung erforderlich</w:t>
      </w:r>
    </w:p>
    <w:p>
      <w:r>
        <w:rPr>
          <w:i/>
          <w:color w:val="666666"/>
          <w:sz w:val="18"/>
        </w:rPr>
        <w:t>Tan HK et al.  ·  Sci Rep  ·  10.09.2026  ·  PMID 42722695</w:t>
      </w:r>
    </w:p>
    <w:p>
      <w:r>
        <w:t>Validierungsstudie eines Tiefenlern-Modells (LiSep LSTM) zur frühen Vorhersage septischen Schocks, trainiert an US-Daten (MIMIC-III), getestet an europäischer Kohorte (Amsterdam UMC).</w:t>
      </w:r>
    </w:p>
    <w:p>
      <w:r>
        <w:rPr>
          <w:b/>
        </w:rPr>
        <w:t xml:space="preserve">Ergebnis: </w:t>
      </w:r>
      <w:r>
        <w:t>Auf AUMC-Kohorte: AUROC 0,8851 (95%-KI 0,8612–0,909) mit Medianen 47,0 h vor Symptombeginn. Externe Validierung zeigte reduzierte Kalibrierung und Rückruf; gepooltes Training verbesserte AUROC und Brier-Score. Genauigkeit 0,60–0,77, Präzision niedrig (0,01–0,17) aufgrund hoher Falsch-Positive.</w:t>
      </w:r>
    </w:p>
    <w:p>
      <w:r>
        <w:rPr>
          <w:b/>
          <w:sz w:val="19"/>
        </w:rPr>
        <w:t xml:space="preserve">Übertragbarkeit: </w:t>
      </w:r>
      <w:r>
        <w:rPr>
          <w:sz w:val="19"/>
        </w:rPr>
        <w:t>USA und Niederlande, externe Validierung ist übertragbar, Lokalanpassung notwendig</w:t>
      </w:r>
    </w:p>
    <w:p>
      <w:r>
        <w:rPr>
          <w:color w:val="5A7D3A"/>
          <w:sz w:val="18"/>
        </w:rPr>
        <w:t>https://pubmed.ncbi.nlm.nih.gov/42722695/</w:t>
      </w:r>
    </w:p>
    <w:p>
      <w:pPr>
        <w:pStyle w:val="Heading1"/>
      </w:pPr>
      <w:r>
        <w:t>Aufgenommen am 26.09.2026</w:t>
      </w:r>
    </w:p>
    <w:p>
      <w:pPr>
        <w:pStyle w:val="Heading2"/>
      </w:pPr>
      <w:r>
        <w:t>Glow-Licht-Audit verbessserte Händehygiene-Qualität im NICU um 87 % - von 19,7 % auf 37 % Fehlerfreiheit</w:t>
      </w:r>
    </w:p>
    <w:p>
      <w:r>
        <w:rPr>
          <w:i/>
          <w:color w:val="666666"/>
          <w:sz w:val="18"/>
        </w:rPr>
        <w:t>Chubey R et al.  ·  Neonatal Netw  ·  01.09.2026  ·  PMID 42791024</w:t>
      </w:r>
    </w:p>
    <w:p>
      <w:r>
        <w:t>Quality-Improvement-Projekt (PDSA-Zyklen) in kanadischem NICU: Audit der Händehygiene-Qualität mit Glow-Lotion und UV-Licht zur visuellen Rückmeldung über unvollständige Waschstellen; Messung bei Eintritt aller Fachpersonen.</w:t>
      </w:r>
    </w:p>
    <w:p>
      <w:r>
        <w:rPr>
          <w:b/>
        </w:rPr>
        <w:t xml:space="preserve">Ergebnis: </w:t>
      </w:r>
      <w:r>
        <w:t>Anteil der Teilnehmer ohne Glow-Areale (Indikator perfekter Händehygiene) erhöht von 19,7 % auf 37 %. Anteil mit &gt;2 fehlgewaschenen Zonen sank von 39,6 % auf 20,7 %. Hinweis: Trotz Verbesserung zeigten einige Mitarbeiter noch mindestens eine Glow-Zone, unterstreicht Notwendigkeit kontinuierlicher Audits. Autoren fordern multidisziplinäre Edukation und regelmäßige Audits.</w:t>
      </w:r>
    </w:p>
    <w:p>
      <w:r>
        <w:rPr>
          <w:b/>
          <w:sz w:val="19"/>
        </w:rPr>
        <w:t xml:space="preserve">Übertragbarkeit: </w:t>
      </w:r>
      <w:r>
        <w:rPr>
          <w:sz w:val="19"/>
        </w:rPr>
        <w:t>Kanada, NICU-Setting; direkt übertragbar auf deutsche Intensivstationen mit verfügbarer Glow-Technologie</w:t>
      </w:r>
    </w:p>
    <w:p>
      <w:r>
        <w:rPr>
          <w:color w:val="5A7D3A"/>
          <w:sz w:val="18"/>
        </w:rPr>
        <w:t>https://pubmed.ncbi.nlm.nih.gov/42791024/</w:t>
      </w:r>
    </w:p>
    <w:p>
      <w:pPr>
        <w:pStyle w:val="Heading2"/>
      </w:pPr>
      <w:r>
        <w:t>Katheter-assoziierte Harnwegsinfektionen auf Intensivstationen erhöhten Verweildauer, nicht direkt die Sterblichkeit</w:t>
      </w:r>
    </w:p>
    <w:p>
      <w:r>
        <w:rPr>
          <w:i/>
          <w:color w:val="666666"/>
          <w:sz w:val="18"/>
        </w:rPr>
        <w:t>Bartoszewicz M et al.  ·  PLoS One  ·  25.09.2026  ·  PMID 42789543</w:t>
      </w:r>
    </w:p>
    <w:p>
      <w:r>
        <w:t>Retrospektive Kohortenstudie in Polen (2017-2023) an 3.231 ICU-Aufnahmen zur Charakterisierung bakterieller Katheter-assoziierter Harnwegsinfektionen (CAUTI) und deren Assoziation mit Patientencharakteristika und Mortalität.</w:t>
      </w:r>
    </w:p>
    <w:p>
      <w:r>
        <w:rPr>
          <w:b/>
        </w:rPr>
        <w:t xml:space="preserve">Ergebnis: </w:t>
      </w:r>
      <w:r>
        <w:t>CAUTI trat in 301 Patienten auf (9,3%; 95%-KI 8,4-10,4%). ICU-Verweildauer/Katheter-Exposition CAUTI 28,3 vs. 13,6 Tage (Differenz 14,8 Tage; 95%-KI 11,7-17,8). Mortalität 49,2% (CAUTI) vs. 45,9% (keine CAUTI); nach Adjustment für Aufnahmecharakteristika war CAUTI nicht mit Tod assoziiert (OR 0,95; 95%-KI 0,75-1,22). Unabhängige Risikofaktoren: weibliches Geschlecht (OR 1,48), Adipositas (OR 1,62), COVID-19 (OR 2,16). 66,4% der Isolate zeigten Resistenzphänotypen.</w:t>
      </w:r>
    </w:p>
    <w:p>
      <w:r>
        <w:rPr>
          <w:b/>
          <w:sz w:val="19"/>
        </w:rPr>
        <w:t xml:space="preserve">Übertragbarkeit: </w:t>
      </w:r>
      <w:r>
        <w:rPr>
          <w:sz w:val="19"/>
        </w:rPr>
        <w:t>Polen, europäisches Gesundheitssystem mit ICU-Standards ähnlich Deutschland</w:t>
      </w:r>
    </w:p>
    <w:p>
      <w:r>
        <w:rPr>
          <w:color w:val="5A7D3A"/>
          <w:sz w:val="18"/>
        </w:rPr>
        <w:t>https://pubmed.ncbi.nlm.nih.gov/42789543/</w:t>
      </w:r>
    </w:p>
    <w:p>
      <w:pPr>
        <w:pStyle w:val="Heading2"/>
      </w:pPr>
      <w:r>
        <w:t>Reserve-Antibiotika-Stewardship senkten unangemessene Anwendungen bei Kindern um ein Drittel</w:t>
      </w:r>
    </w:p>
    <w:p>
      <w:r>
        <w:rPr>
          <w:i/>
          <w:color w:val="666666"/>
          <w:sz w:val="18"/>
        </w:rPr>
        <w:t>Echávarri de Miguel M et al.  ·  Eur J Pediatr  ·  25.09.2026  ·  PMID 42789114</w:t>
      </w:r>
    </w:p>
    <w:p>
      <w:r>
        <w:t>Retrospektive Studie zu WHO-Reserve-Antibiotika (Ceftazidim-Avibactam, Ceftolozane-Tazobactam, Cefiderocol u.a.) in einer pädiatrischen Universitätsklinik; nach Implementierung eines strukturierten Stewardship-Programms mit Formularbeschränkung und elektronischen Verschreibungstools wurden Indikationen überprüft.</w:t>
      </w:r>
    </w:p>
    <w:p>
      <w:r>
        <w:rPr>
          <w:b/>
        </w:rPr>
        <w:t xml:space="preserve">Ergebnis: </w:t>
      </w:r>
      <w:r>
        <w:t>96 Behandlungsepisoden analysiert. Cefiderocol und Ceftazidim-Avibactam zeigten hohe Übereinstimmung mit Resistenzkriterien; Ceftolozane-Tazobactam und Ceftaroline wurden häufiger empirisch eingesetzt. Nach Stewardship-Implementierung (formulary restriction, elektronische Prescribing-Safeguards, WHO-AWaRe-Integration) verbesserte sich die Indikationsstellung und klinische Governance.</w:t>
      </w:r>
    </w:p>
    <w:p>
      <w:r>
        <w:rPr>
          <w:b/>
          <w:sz w:val="19"/>
        </w:rPr>
        <w:t xml:space="preserve">Übertragbarkeit: </w:t>
      </w:r>
      <w:r>
        <w:rPr>
          <w:sz w:val="19"/>
        </w:rPr>
        <w:t>Spanien; vergleichbar mit deutschen Universitätskliniken und Stewardship-Vorgaben</w:t>
      </w:r>
    </w:p>
    <w:p>
      <w:r>
        <w:rPr>
          <w:color w:val="5A7D3A"/>
          <w:sz w:val="18"/>
        </w:rPr>
        <w:t>https://pubmed.ncbi.nlm.nih.gov/42789114/</w:t>
      </w:r>
    </w:p>
    <w:p>
      <w:pPr>
        <w:pStyle w:val="Heading2"/>
      </w:pPr>
      <w:r>
        <w:t>Aufmerksamkeit auf Sepsiszeichen ist Schlüssel zur frühzeitigen Diagnose - Framework für Kliniker und Organisationen</w:t>
      </w:r>
    </w:p>
    <w:p>
      <w:r>
        <w:rPr>
          <w:i/>
          <w:color w:val="666666"/>
          <w:sz w:val="18"/>
        </w:rPr>
        <w:t>Birken SA et al.  ·  Crit Care Explor  ·  01.10.2026  ·  PMID 42788993</w:t>
      </w:r>
    </w:p>
    <w:p>
      <w:r>
        <w:t>Qualitative Observationsstudie (41 Interviews an 20 US-Krankenhäusern mit System-, Abteilungs- und Kliniker-Ebenen-Akteuren) zur Entwicklung und Validierung des SepsisDx-Frameworks für genaue, zeitnahe Sepsisdiagnose.</w:t>
      </w:r>
    </w:p>
    <w:p>
      <w:r>
        <w:rPr>
          <w:b/>
        </w:rPr>
        <w:t xml:space="preserve">Ergebnis: </w:t>
      </w:r>
      <w:r>
        <w:t>SepsisDx-Framework bestätigt zentrale These: Sepsisdiagnose wird durch Wechselwirkung von Mikro-, Meso- und Makroebenen beeinflusst. Wichtigste Faktor auf Individualebene: Aufmerksamkeit (noticing, encoding, interpreting, focusing time/effort). Aufmerksamkeit reduziert durch mehrdeutige klinische Präsentationen und Schocks (z.B. COVID-19). Organisatorische Strategien (Audit und Feedback) erhöhten Organisations-Aufmerksamkeit, reduzierten aber Provider-Aufmerksamkeit; Effektivität moderiert durch Personalausstattung. Framework klärt Mechanismen und informiert Interventions-Design.</w:t>
      </w:r>
    </w:p>
    <w:p>
      <w:r>
        <w:rPr>
          <w:b/>
          <w:sz w:val="19"/>
        </w:rPr>
        <w:t xml:space="preserve">Übertragbarkeit: </w:t>
      </w:r>
      <w:r>
        <w:rPr>
          <w:sz w:val="19"/>
        </w:rPr>
        <w:t>USA, Gedankenmodell translabel auf Deutschland; Validierung in europäischen Systemen erforderlich</w:t>
      </w:r>
    </w:p>
    <w:p>
      <w:r>
        <w:rPr>
          <w:color w:val="5A7D3A"/>
          <w:sz w:val="18"/>
        </w:rPr>
        <w:t>https://pubmed.ncbi.nlm.nih.gov/42788993/</w:t>
      </w:r>
    </w:p>
    <w:p>
      <w:pPr>
        <w:pStyle w:val="Heading2"/>
      </w:pPr>
      <w:r>
        <w:t>Kliniker in Bangladesch unterstützen Antibiotic-Stewardship, scheitern aber an Umsetzung ohne Systeme</w:t>
      </w:r>
    </w:p>
    <w:p>
      <w:r>
        <w:rPr>
          <w:i/>
          <w:color w:val="666666"/>
          <w:sz w:val="18"/>
        </w:rPr>
        <w:t>Amin MA et al.  ·  J Biosoc Sci  ·  25.09.2026  ·  PMID 42788376</w:t>
      </w:r>
    </w:p>
    <w:p>
      <w:r>
        <w:t>Qualitative Interviewstudie (18 Kliniker, 36 Betreuer) an drei Krankenhäusern in Bangladesch zu Wissensstand und Perspektiven auf Antibiotic Stewardship bei Diarrhö bei Kindern unter fünf Jahren.</w:t>
      </w:r>
    </w:p>
    <w:p>
      <w:r>
        <w:rPr>
          <w:b/>
        </w:rPr>
        <w:t xml:space="preserve">Ergebnis: </w:t>
      </w:r>
      <w:r>
        <w:t>Wenige Kliniker kannten Begriff 'Antibiotic Stewardship', aber die meisten verstanden Kernprinzipien und unterstützten sie. Betreuer waren überwiegend unfamiliar damit. Kliniker beschrieben informale Stewardship-Bemühungen, aber Abwesenheit strukturierter Programme. Schlüssel-Barrieren: Community-Anbieter ohne Regulierung, Personalengpässe, Betreuer-Erwartungen für Antibiotika, Druck, Familien-Wünsche zu erfüllen. Forderung nach facility- und community-basiertem Ansatz mit Entscheidungs-Unterstützung, Antibiotika-Audits, Community-Edukation.</w:t>
      </w:r>
    </w:p>
    <w:p>
      <w:r>
        <w:rPr>
          <w:b/>
          <w:sz w:val="19"/>
        </w:rPr>
        <w:t xml:space="preserve">Übertragbarkeit: </w:t>
      </w:r>
      <w:r>
        <w:rPr>
          <w:sz w:val="19"/>
        </w:rPr>
        <w:t>Bangladesch (Low-Resource-Setting); Befunde zu Stewardship-Barrieren relevant für deutsche Diskussion bei Migration und vulnerablen Populationen</w:t>
      </w:r>
    </w:p>
    <w:p>
      <w:r>
        <w:rPr>
          <w:color w:val="5A7D3A"/>
          <w:sz w:val="18"/>
        </w:rPr>
        <w:t>https://pubmed.ncbi.nlm.nih.gov/42788376/</w:t>
      </w:r>
    </w:p>
    <w:p>
      <w:pPr>
        <w:pStyle w:val="Heading2"/>
      </w:pPr>
      <w:r>
        <w:t>MDRO-Infektionen nach Magen-Darm-Chirurgie kosteten durchschnittlich 21.000 Euro extra pro Patient</w:t>
      </w:r>
    </w:p>
    <w:p>
      <w:r>
        <w:rPr>
          <w:i/>
          <w:color w:val="666666"/>
          <w:sz w:val="18"/>
        </w:rPr>
        <w:t>Yan P et al.  ·  Front Public Health  ·  10.09.2026  ·  PMID 42787113</w:t>
      </w:r>
    </w:p>
    <w:p>
      <w:r>
        <w:t>Retrospektive Kohortenstudie in China an 100 Patienten mit postoperativen Infektionen nach Magen-Darm-Chirurgie; Vergleich multiresistenter Organismen (MDRO, n=41) mit nicht-MDRO (n=59) bezüglich Kostenfolgen und ICU-Aufenthaltszeiten.</w:t>
      </w:r>
    </w:p>
    <w:p>
      <w:r>
        <w:rPr>
          <w:b/>
        </w:rPr>
        <w:t xml:space="preserve">Ergebnis: </w:t>
      </w:r>
      <w:r>
        <w:t>Gesamtkrankenhauskosten MDRO: Median 85.913 CNY vs. nicht-MDRO 64.747 CNY (p&lt;0,05); Inkrementalkosten ΔC 95%-KI: 18.405-78.031 CNY (~2.200-9.400 Euro); ICU-Verweildauer MDRO median 2 Tage vs. 0 Tage (p&lt;0,001); Antibiotika-Therapiedauer 25 vs. 23 Tage (p=0,017); Krankenhausverweildauer 35 vs. 29 Tage (p=0,030). Labordiagnostik, nichtchirurgische Behandlung und diagnostische Verfahren waren Hauptkostentreiber.</w:t>
      </w:r>
    </w:p>
    <w:p>
      <w:r>
        <w:rPr>
          <w:b/>
          <w:sz w:val="19"/>
        </w:rPr>
        <w:t xml:space="preserve">Übertragbarkeit: </w:t>
      </w:r>
      <w:r>
        <w:rPr>
          <w:sz w:val="19"/>
        </w:rPr>
        <w:t>China, vergleichbare chirurgische Patientenpopulation; Kostenergebnisse nicht 1:1 auf Deutschland übertragbar</w:t>
      </w:r>
    </w:p>
    <w:p>
      <w:r>
        <w:rPr>
          <w:color w:val="5A7D3A"/>
          <w:sz w:val="18"/>
        </w:rPr>
        <w:t>https://pubmed.ncbi.nlm.nih.gov/42787113/</w:t>
      </w:r>
    </w:p>
    <w:p>
      <w:pPr>
        <w:pStyle w:val="Heading2"/>
      </w:pPr>
      <w:r>
        <w:t>Kommunikationslücken und Personalüberlastung verursachen vermeidbare Schäden in Pflegeheimen</w:t>
      </w:r>
    </w:p>
    <w:p>
      <w:r>
        <w:rPr>
          <w:i/>
          <w:color w:val="666666"/>
          <w:sz w:val="18"/>
        </w:rPr>
        <w:t>Mowat R et al.  ·  N Z Med J  ·  25.09.2026  ·  PMID 42784820</w:t>
      </w:r>
    </w:p>
    <w:p>
      <w:r>
        <w:t>Qualitative Fallstudie nach Yin (24 HDC-Fälle 2007-2021) zu menschlichen Fehlerfaktoren in neuseeländischen Altenheimen; thematische Analyse der von der Health &amp; Disability Commission untersuchten Beschwerde-Muster.</w:t>
      </w:r>
    </w:p>
    <w:p>
      <w:r>
        <w:rPr>
          <w:b/>
        </w:rPr>
        <w:t xml:space="preserve">Ergebnis: </w:t>
      </w:r>
      <w:r>
        <w:t>Vier rekurrente Themen: (1) Kommunikationslücken, (2) Dokumentationsmängel, (3) Inkonsistenzen zwischen Richtlinie und Praxis, (4) Personalknappheit und unzureichende Fachkompetenz. Autoren empfehlen systemischen Ansatz (Systems Engineering Initiative for Patient Safety) statt Individuen-Fokus zu Harm-Prevention.</w:t>
      </w:r>
    </w:p>
    <w:p>
      <w:r>
        <w:rPr>
          <w:b/>
          <w:sz w:val="19"/>
        </w:rPr>
        <w:t xml:space="preserve">Übertragbarkeit: </w:t>
      </w:r>
      <w:r>
        <w:rPr>
          <w:sz w:val="19"/>
        </w:rPr>
        <w:t>Neuseeland, ähnliches Gesundheitssystem wie Australien; relevante Befunde für deutsches Qualitätsmanagement</w:t>
      </w:r>
    </w:p>
    <w:p>
      <w:r>
        <w:rPr>
          <w:color w:val="5A7D3A"/>
          <w:sz w:val="18"/>
        </w:rPr>
        <w:t>https://pubmed.ncbi.nlm.nih.gov/42784820/</w:t>
      </w:r>
    </w:p>
    <w:p>
      <w:pPr>
        <w:pStyle w:val="Heading1"/>
      </w:pPr>
      <w:r>
        <w:t>Aufgenommen am 25.09.2026</w:t>
      </w:r>
    </w:p>
    <w:p>
      <w:pPr>
        <w:pStyle w:val="Heading2"/>
      </w:pPr>
      <w:r>
        <w:t>Klinische Phenotypen der neonatalen Sepsis zeigen bessere Sterblichkeits­vorhersage als WHO-Leitlinie</w:t>
      </w:r>
    </w:p>
    <w:p>
      <w:r>
        <w:rPr>
          <w:i/>
          <w:color w:val="666666"/>
          <w:sz w:val="18"/>
        </w:rPr>
        <w:t>Tuti T et al.  ·  PLoS One  ·  24.09.2026  ·  PMID 42784586</w:t>
      </w:r>
    </w:p>
    <w:p>
      <w:r>
        <w:t>Latent-Class-Analyse von Zeichen möglicher schwerer bakterieller Infektion (pSBI) bei Neugeborenen in 21 kenianischen Kliniken zur Identifikation von Sepsis-Clustern und Sterblichkeitsrisiko-Stratifizierung.</w:t>
      </w:r>
    </w:p>
    <w:p>
      <w:r>
        <w:rPr>
          <w:b/>
        </w:rPr>
        <w:t xml:space="preserve">Ergebnis: </w:t>
      </w:r>
      <w:r>
        <w:t>Fünf Cluster mit minimalem bis kritischem Sterblichkeitsrisiko wurden identifiziert. Modell-Diskrimination (AUROC 0,867 vs. WHO 0,721; Unterschied 0,146) und Kalibrierung übertroffen WHO-Klassifikation. Externe Validierung an 13 zusätzlichen Kliniken mit Accuracy 83,16 %, PPV 81,02 %.</w:t>
      </w:r>
    </w:p>
    <w:p>
      <w:r>
        <w:rPr>
          <w:b/>
          <w:sz w:val="19"/>
        </w:rPr>
        <w:t xml:space="preserve">Übertragbarkeit: </w:t>
      </w:r>
      <w:r>
        <w:rPr>
          <w:sz w:val="19"/>
        </w:rPr>
        <w:t>Kenia; ressourcenbegrenzte Umgebung, aber generalisierbare Risiko-Stratifikation ohne teure Tests</w:t>
      </w:r>
    </w:p>
    <w:p>
      <w:r>
        <w:rPr>
          <w:color w:val="5A7D3A"/>
          <w:sz w:val="18"/>
        </w:rPr>
        <w:t>https://pubmed.ncbi.nlm.nih.gov/42784586/</w:t>
      </w:r>
    </w:p>
    <w:p>
      <w:pPr>
        <w:pStyle w:val="Heading2"/>
      </w:pPr>
      <w:r>
        <w:t>Postoperative Infektionen nach Kolonkarzinom-OP senken Langzeitüberleben um 18 Prozentpunkte</w:t>
      </w:r>
    </w:p>
    <w:p>
      <w:r>
        <w:rPr>
          <w:i/>
          <w:color w:val="666666"/>
          <w:sz w:val="18"/>
        </w:rPr>
        <w:t>Lee J et al.  ·  BJS Open  ·  04.09.2026  ·  PMID 42782000</w:t>
      </w:r>
    </w:p>
    <w:p>
      <w:r>
        <w:t>Sekundäranalyse einer randomisierten Studie mit 161 Patienten, Langzeitfolge-up median 57 Monate, zur Assoziation postoperativer Infektionen mit Krankheits- und Gesamtüberleben nach elektiver Kolonkarzinom-Chirurgie.</w:t>
      </w:r>
    </w:p>
    <w:p>
      <w:r>
        <w:rPr>
          <w:b/>
        </w:rPr>
        <w:t xml:space="preserve">Ergebnis: </w:t>
      </w:r>
      <w:r>
        <w:t>5-Jahres-Gesamtüberleben bei Patienten mit postoperativen Infektionen 74 % gegenüber 92 % ohne Infektionen (p = 0,013; Differenz 18 Prozentpunkte). In Multivarianz-Analyse: Infektionen erhöhten Sterblichkeitsrisiko unabhängig (HR 4,14; p = 0,007). Trend zu schlechterer Krankheitsfreiheit (71 % vs. 86 %; p = 0,065).</w:t>
      </w:r>
    </w:p>
    <w:p>
      <w:r>
        <w:rPr>
          <w:b/>
          <w:sz w:val="19"/>
        </w:rPr>
        <w:t xml:space="preserve">Übertragbarkeit: </w:t>
      </w:r>
      <w:r>
        <w:rPr>
          <w:sz w:val="19"/>
        </w:rPr>
        <w:t>Südkorea, vergleichbares Chirurgie-Setting und Follow-up-Struktur wie Deutschland</w:t>
      </w:r>
    </w:p>
    <w:p>
      <w:r>
        <w:rPr>
          <w:color w:val="5A7D3A"/>
          <w:sz w:val="18"/>
        </w:rPr>
        <w:t>https://pubmed.ncbi.nlm.nih.gov/42782000/</w:t>
      </w:r>
    </w:p>
    <w:p>
      <w:pPr>
        <w:pStyle w:val="Heading2"/>
      </w:pPr>
      <w:r>
        <w:t>Fünfjahresergebnisse: Fehlermeldungen in einer italienischen Gesundheitsbehörde zeigen System-Schwachstellen</w:t>
      </w:r>
    </w:p>
    <w:p>
      <w:r>
        <w:rPr>
          <w:i/>
          <w:color w:val="666666"/>
          <w:sz w:val="18"/>
        </w:rPr>
        <w:t>Amato S et al.  ·  Ig Sanita Pubbl  ·  Juli 2026  ·  PMID 42776155</w:t>
      </w:r>
    </w:p>
    <w:p>
      <w:r>
        <w:t>Analyse von 5 Jahren eingegangener Fehlermeldungen in einer italienischen ASL (Lokale Gesundheitsbehörde) mit Fokus auf Typ, Klassifikation und eingeleitete Korrektivmaßnahmen.</w:t>
      </w:r>
    </w:p>
    <w:p>
      <w:r>
        <w:rPr>
          <w:b/>
        </w:rPr>
        <w:t xml:space="preserve">Ergebnis: </w:t>
      </w:r>
      <w:r>
        <w:t>Detaillierte Erfassung der Häufigkeit und Struktur der Meldungen wurde durchgeführt; die Studie legt dar, wie Meldungen verarbeitet und Maßnahmen eingeleitet wurden. Ohne Angabe einzelner Häufigkeiten oder Verbesserungen von Behandlungsergebnissen konnte die Funktionsfähigkeit der Meldesysteme beschrieben, aber nicht in vermiedenen Schäden gemessen werden.</w:t>
      </w:r>
    </w:p>
    <w:p>
      <w:r>
        <w:rPr>
          <w:b/>
          <w:sz w:val="19"/>
        </w:rPr>
        <w:t xml:space="preserve">Übertragbarkeit: </w:t>
      </w:r>
      <w:r>
        <w:rPr>
          <w:sz w:val="19"/>
        </w:rPr>
        <w:t>Italien, öffentliches Gesundheitssystem; weniger regulatorische Trennung von ambulant/stationär als Deutschland</w:t>
      </w:r>
    </w:p>
    <w:p>
      <w:r>
        <w:rPr>
          <w:color w:val="5A7D3A"/>
          <w:sz w:val="18"/>
        </w:rPr>
        <w:t>https://pubmed.ncbi.nlm.nih.gov/42776155/</w:t>
      </w:r>
    </w:p>
    <w:p>
      <w:pPr>
        <w:pStyle w:val="Heading2"/>
      </w:pPr>
      <w:r>
        <w:t>Digital informierte Antibiotic-Stewardship-Ausbildung erhöht Fachkompetenz um 30 bis 50 Prozent</w:t>
      </w:r>
    </w:p>
    <w:p>
      <w:r>
        <w:rPr>
          <w:i/>
          <w:color w:val="666666"/>
          <w:sz w:val="18"/>
        </w:rPr>
        <w:t>Kusuma IY et al.  ·  J Am Coll Clin Pharm  ·  Okt. 2026  ·  PMID 42773335</w:t>
      </w:r>
    </w:p>
    <w:p>
      <w:r>
        <w:t>Geclusterte Stepped-Wedge-Studie mit 268 Pharmaziestudierenden zum Effekt eines multikomponentigen, theory-informed Digital Antimicrobial Stewardship Education Intervention (DASEI) auf Wissen, Klinisches Denken, Wahrnehmung und Einstellung.</w:t>
      </w:r>
    </w:p>
    <w:p>
      <w:r>
        <w:rPr>
          <w:b/>
        </w:rPr>
        <w:t xml:space="preserve">Ergebnis: </w:t>
      </w:r>
      <w:r>
        <w:t>Antibiotikakenntnis stieg von 16,08 auf 20,96 Punkte (Zunahme 4,88, 30,3 %); Fallbearbeitungs-Scores von 3,46 auf 5,01 (Zunahme 1,55, 44,8 %); Wahrnehmung von 3,82 auf 4,04; Einstellung von 3,70 auf 4,10. Mixed-effects-Analyse zeigte signifikante Interventionseffekte (p &lt; 0,05) mit Verbesserungen über alle Zeitpunkte.</w:t>
      </w:r>
    </w:p>
    <w:p>
      <w:r>
        <w:rPr>
          <w:b/>
          <w:sz w:val="19"/>
        </w:rPr>
        <w:t xml:space="preserve">Übertragbarkeit: </w:t>
      </w:r>
      <w:r>
        <w:rPr>
          <w:sz w:val="19"/>
        </w:rPr>
        <w:t>Indonesien; anwendbar in Ländern mit begrenzter Ressourcen-Ausstattung von Aus- und Fortbildung</w:t>
      </w:r>
    </w:p>
    <w:p>
      <w:r>
        <w:rPr>
          <w:color w:val="5A7D3A"/>
          <w:sz w:val="18"/>
        </w:rPr>
        <w:t>https://pubmed.ncbi.nlm.nih.gov/42773335/</w:t>
      </w:r>
    </w:p>
    <w:p>
      <w:pPr>
        <w:pStyle w:val="Heading2"/>
      </w:pPr>
      <w:r>
        <w:t>Strukturiertes Prompting verbessert Fehler­erkennung in Radiologie-Berichten um 6 bis 8 Prozentpunkte</w:t>
      </w:r>
    </w:p>
    <w:p>
      <w:r>
        <w:rPr>
          <w:i/>
          <w:color w:val="666666"/>
          <w:sz w:val="18"/>
        </w:rPr>
        <w:t>Li J et al.  ·  Eur Radiol Exp  ·  22.09.2026  ·  PMID 42771118</w:t>
      </w:r>
    </w:p>
    <w:p>
      <w:r>
        <w:t>Entwicklung und Evaluierung von RadCoT, einem strukturierten Prompting-Framework für große Sprachmodelle, zur Fehlerkennung in Radiologie-Berichten an Hand von 1.200 klinisch validierten Fällen.</w:t>
      </w:r>
    </w:p>
    <w:p>
      <w:r>
        <w:rPr>
          <w:b/>
        </w:rPr>
        <w:t xml:space="preserve">Ergebnis: </w:t>
      </w:r>
      <w:r>
        <w:t>RadCoT erhöhte die mittlere F1-Metrik von 0,77 auf 0,85 (p = 0,003) über alle Modelle hinweg; Interpretation Fehler verbesserten sich von F1 = 0,57 auf 0,75. GPT-4o mit RadCoT erreichte F1 = 0,93; Llama-3.3-70B mit RadCoT (F1 = 0,89) schloss die Lücke zu kommerziellen Modellen.</w:t>
      </w:r>
    </w:p>
    <w:p>
      <w:r>
        <w:rPr>
          <w:b/>
          <w:sz w:val="19"/>
        </w:rPr>
        <w:t xml:space="preserve">Übertragbarkeit: </w:t>
      </w:r>
      <w:r>
        <w:rPr>
          <w:sz w:val="19"/>
        </w:rPr>
        <w:t>China (Beijing); digitale QS-Anwendung, limitierte direkte Übertragung ohne lokale Validierung</w:t>
      </w:r>
    </w:p>
    <w:p>
      <w:r>
        <w:rPr>
          <w:color w:val="5A7D3A"/>
          <w:sz w:val="18"/>
        </w:rPr>
        <w:t>https://pubmed.ncbi.nlm.nih.gov/42771118/</w:t>
      </w:r>
    </w:p>
    <w:p>
      <w:pPr>
        <w:pStyle w:val="Heading2"/>
      </w:pPr>
      <w:r>
        <w:t>Psychosoziale Arbeitsrisiken treffen Männer und Handwerk stärker – Andalusischer Composite-Index zeigt Unterschiede</w:t>
      </w:r>
    </w:p>
    <w:p>
      <w:r>
        <w:rPr>
          <w:i/>
          <w:color w:val="666666"/>
          <w:sz w:val="18"/>
        </w:rPr>
        <w:t>De Las Heras-Rosas C et al.  ·  J Safety Res  ·  17.07.2026  ·  PMID 42744481</w:t>
      </w:r>
    </w:p>
    <w:p>
      <w:r>
        <w:t>Analyse des II. Andalusischen Arbeitsbedingungs-Survey mit Konstruktion eines Composite-Indikators für psychosoziale Risiken (ACIPR) zur Messung von Unterschieden bei Exposition nach Geschlecht, Firmengröße und Sektor.</w:t>
      </w:r>
    </w:p>
    <w:p>
      <w:r>
        <w:rPr>
          <w:b/>
        </w:rPr>
        <w:t xml:space="preserve">Ergebnis: </w:t>
      </w:r>
      <w:r>
        <w:t>Höhere psychosoziale Risiken bei Männern; Bauwirtschaft zeigte höchstes Risiko; mittlere Firmengrößen hatten niedrigstes Risiko. Unterschiede waren nach Multivariate-Analyse statistisch signifikant nachweisbar.</w:t>
      </w:r>
    </w:p>
    <w:p>
      <w:r>
        <w:rPr>
          <w:b/>
          <w:sz w:val="19"/>
        </w:rPr>
        <w:t xml:space="preserve">Übertragbarkeit: </w:t>
      </w:r>
      <w:r>
        <w:rPr>
          <w:sz w:val="19"/>
        </w:rPr>
        <w:t>Spanien; vergleichbare Arbeitsschutzgesetzgebung, aber andere Branchenstruktur</w:t>
      </w:r>
    </w:p>
    <w:p>
      <w:r>
        <w:rPr>
          <w:color w:val="5A7D3A"/>
          <w:sz w:val="18"/>
        </w:rPr>
        <w:t>https://pubmed.ncbi.nlm.nih.gov/42744481/</w:t>
      </w:r>
    </w:p>
    <w:p>
      <w:pPr>
        <w:pStyle w:val="Heading1"/>
      </w:pPr>
      <w:r>
        <w:t>Aufgenommen am 24.09.2026</w:t>
      </w:r>
    </w:p>
    <w:p>
      <w:pPr>
        <w:pStyle w:val="Heading2"/>
      </w:pPr>
      <w:r>
        <w:t>Probiotika senkten schwere Morbidität bei sehr unreifen Neugeborenen um Zwei Drittel</w:t>
      </w:r>
    </w:p>
    <w:p>
      <w:r>
        <w:rPr>
          <w:i/>
          <w:color w:val="666666"/>
          <w:sz w:val="18"/>
        </w:rPr>
        <w:t>Mitha A et al.  ·  JAMA Netw Open  ·  01.09.2026  ·  PMID 42776528</w:t>
      </w:r>
    </w:p>
    <w:p>
      <w:r>
        <w:t>Analyse von 4.695 sehr unreifen Neugeborenen (28–31+6 Wochen) aus dem schwedischen Qualitätsregister: Vergleich von Multistrainprobiotika (Bifidobacterium infantis, B. lactis, Streptococcus thermophilus) versus Kontrolle.</w:t>
      </w:r>
    </w:p>
    <w:p>
      <w:r>
        <w:rPr>
          <w:b/>
        </w:rPr>
        <w:t xml:space="preserve">Ergebnis: </w:t>
      </w:r>
      <w:r>
        <w:t>Probiotika senkten das zusammengesetzte Ergebnis Tod oder nekrotisierende Enterokolitis von 3,4 % auf 0,8 % (adjustiertes relatives Risiko 0,28; 95%-KI 0,14–0,56). Tod allein sank von 1,4 % auf 0,3 % (aRR 0,16; 95%-KI 0,06–0,45), Enterocolitis von 2,5 % auf 0,6 % (aRR 0,25; 95%-KI 0,10–0,61). Sepsis wurde nicht beeinflusst.</w:t>
      </w:r>
    </w:p>
    <w:p>
      <w:r>
        <w:rPr>
          <w:b/>
          <w:sz w:val="19"/>
        </w:rPr>
        <w:t xml:space="preserve">Übertragbarkeit: </w:t>
      </w:r>
      <w:r>
        <w:rPr>
          <w:sz w:val="19"/>
        </w:rPr>
        <w:t>Schweden, Population-based Register, Kausalitätsfrage dennoch offen bei neuer Empfehlung (2020).</w:t>
      </w:r>
    </w:p>
    <w:p>
      <w:r>
        <w:rPr>
          <w:color w:val="5A7D3A"/>
          <w:sz w:val="18"/>
        </w:rPr>
        <w:t>https://pubmed.ncbi.nlm.nih.gov/42776528/</w:t>
      </w:r>
    </w:p>
    <w:p>
      <w:pPr>
        <w:pStyle w:val="Heading2"/>
      </w:pPr>
      <w:r>
        <w:t>Stevens-Johnson-Syndrom: Kortikosteroide bevorzugt, aber Behandlungspraxis heterogen auch bei Experten</w:t>
      </w:r>
    </w:p>
    <w:p>
      <w:r>
        <w:rPr>
          <w:i/>
          <w:color w:val="666666"/>
          <w:sz w:val="18"/>
        </w:rPr>
        <w:t>Preclaro IA et al.  ·  Acta Derm Venereol  ·  23.09.2026  ·  PMID 42775869</w:t>
      </w:r>
    </w:p>
    <w:p>
      <w:r>
        <w:t>Querschnitts-Umfrage von 48 philippinischen Dermatologen zu Management von SJS/TEN mittels 6 standardisierter klinischer Szenarien; Weighted Scores, Friedman-Tests.</w:t>
      </w:r>
    </w:p>
    <w:p>
      <w:r>
        <w:rPr>
          <w:b/>
        </w:rPr>
        <w:t xml:space="preserve">Ergebnis: </w:t>
      </w:r>
      <w:r>
        <w:t>Kortikosteroide von 85,4 % verwendet; 35,4 % behandelten selektive Fälle mit supportiver Pflege allein. Signifikante Unterschiede in Therapie-Rankings über alle Szenarien (p&lt;0,001). Übereinstimmung groß für einfache, klein für komplexe Fälle (W=0,516 vs. W=0,236). Heterogenität auch unter Experten für komplexe Fälle.</w:t>
      </w:r>
    </w:p>
    <w:p>
      <w:r>
        <w:rPr>
          <w:b/>
          <w:sz w:val="19"/>
        </w:rPr>
        <w:t xml:space="preserve">Übertragbarkeit: </w:t>
      </w:r>
      <w:r>
        <w:rPr>
          <w:sz w:val="19"/>
        </w:rPr>
        <w:t>Philippinen, ressourcenlimitiertes Setting, Befund zur therapeutischen Unsicherheit breit anwendbar.</w:t>
      </w:r>
    </w:p>
    <w:p>
      <w:r>
        <w:rPr>
          <w:color w:val="5A7D3A"/>
          <w:sz w:val="18"/>
        </w:rPr>
        <w:t>https://pubmed.ncbi.nlm.nih.gov/42775869/</w:t>
      </w:r>
    </w:p>
    <w:p>
      <w:pPr>
        <w:pStyle w:val="Heading2"/>
      </w:pPr>
      <w:r>
        <w:t>Händehygiene-Adhärenz von Fachkräften 23 % unter Selbsteinschätzung; Wissen allein verbessert Verhalten nicht</w:t>
      </w:r>
    </w:p>
    <w:p>
      <w:r>
        <w:rPr>
          <w:i/>
          <w:color w:val="666666"/>
          <w:sz w:val="18"/>
        </w:rPr>
        <w:t>Nykvist G et al.  ·  Front Public Health  ·  08.09.2026  ·  PMID 42774319</w:t>
      </w:r>
    </w:p>
    <w:p>
      <w:r>
        <w:t>Querschnittsstudie mit strukturierter Beobachtung, Wissenstest und Fragebogen bei 69 Fachkräften (Pflegekräfte, Ärzte, Assistenten) einer schwedischen Infektionsabteilung über vier Wochen.</w:t>
      </w:r>
    </w:p>
    <w:p>
      <w:r>
        <w:rPr>
          <w:b/>
        </w:rPr>
        <w:t xml:space="preserve">Ergebnis: </w:t>
      </w:r>
      <w:r>
        <w:t>Beobachtete Adhärenz zu Hygiene-Routinen: 76,4 % (±20,2). Selbsteinschätzung aber 92,1 % (±3,3). Wissensmedian 90,9 % (IQR 81,8–97,7); Pflegekräfte signifikant höher als Ärzte. Keine signifikante Korrelation zwischen Wissen und beobachtetem Verhalten. Organisationskultur, nicht Wissen, ist kritisch.</w:t>
      </w:r>
    </w:p>
    <w:p>
      <w:r>
        <w:rPr>
          <w:b/>
          <w:sz w:val="19"/>
        </w:rPr>
        <w:t xml:space="preserve">Übertragbarkeit: </w:t>
      </w:r>
      <w:r>
        <w:rPr>
          <w:sz w:val="19"/>
        </w:rPr>
        <w:t>Schweden, vergleichbare Infektionsprävention, Befund zur Diskrepanz zwischen Wissen und Tun universal.</w:t>
      </w:r>
    </w:p>
    <w:p>
      <w:r>
        <w:rPr>
          <w:color w:val="5A7D3A"/>
          <w:sz w:val="18"/>
        </w:rPr>
        <w:t>https://pubmed.ncbi.nlm.nih.gov/42774319/</w:t>
      </w:r>
    </w:p>
    <w:p>
      <w:pPr>
        <w:pStyle w:val="Heading2"/>
      </w:pPr>
      <w:r>
        <w:t>Medikationsfehler bei Kindern: Vorbereitung/Applikation 68 % aller Fehler mit doppeltem Schwererisiko</w:t>
      </w:r>
    </w:p>
    <w:p>
      <w:r>
        <w:rPr>
          <w:i/>
          <w:color w:val="666666"/>
          <w:sz w:val="18"/>
        </w:rPr>
        <w:t>Hirano D et al.  ·  Eur J Pediatr  ·  23.09.2026  ·  PMID 42773260</w:t>
      </w:r>
    </w:p>
    <w:p>
      <w:r>
        <w:t>Nationale retrospektive Analyse von 546 pädiatrischen Medikationsincidenten aus 12 Jahren (2013–2024) der japanischen Meldedatenbank; Schweregrad ≥3b bei 32,6 %.</w:t>
      </w:r>
    </w:p>
    <w:p>
      <w:r>
        <w:rPr>
          <w:b/>
        </w:rPr>
        <w:t xml:space="preserve">Ergebnis: </w:t>
      </w:r>
      <w:r>
        <w:t>Fehler in Vorbereitung und Applikation (nicht Verschreibung): 67,9 % aller Incidents; diese waren mit höherer Schwere assoziiert (aPR 2,03; 95%-KI 1,38–2,98). Extravasation in 35 Fällen: 82,9 % schwer. Ärzte-Fehler schwerwiegender als Pflege-Fehler (aPR 0,55; 95%-KI 0,42–0,72).</w:t>
      </w:r>
    </w:p>
    <w:p>
      <w:r>
        <w:rPr>
          <w:b/>
          <w:sz w:val="19"/>
        </w:rPr>
        <w:t xml:space="preserve">Übertragbarkeit: </w:t>
      </w:r>
      <w:r>
        <w:rPr>
          <w:sz w:val="19"/>
        </w:rPr>
        <w:t>Japan, Meldedatenbank national, Struktur ähnlich deutschen Qualitätsmeldesystemen.</w:t>
      </w:r>
    </w:p>
    <w:p>
      <w:r>
        <w:rPr>
          <w:color w:val="5A7D3A"/>
          <w:sz w:val="18"/>
        </w:rPr>
        <w:t>https://pubmed.ncbi.nlm.nih.gov/42773260/</w:t>
      </w:r>
    </w:p>
    <w:p>
      <w:pPr>
        <w:pStyle w:val="Heading2"/>
      </w:pPr>
      <w:r>
        <w:t>Niedriger Blutdruck (≤100 mmHg) in ersten 48 h verschlechtert Sepsis-AKI-Prognose: Mortalität verdoppelt bis verdreifacht</w:t>
      </w:r>
    </w:p>
    <w:p>
      <w:r>
        <w:rPr>
          <w:i/>
          <w:color w:val="666666"/>
          <w:sz w:val="18"/>
        </w:rPr>
        <w:t>Sriwalosakul T et al.  ·  Ann Med  ·  22.09.2026  ·  PMID 42768944</w:t>
      </w:r>
    </w:p>
    <w:p>
      <w:r>
        <w:t>Retrospektive Einzelzenter-Kohorte von 476 nicht-kritischen Patienten mit Sepsis-assoziierter akuter Nierenschädigung (2011–2020); mittlerer systolischer Druck in den ersten 48 h kategorisiert.</w:t>
      </w:r>
    </w:p>
    <w:p>
      <w:r>
        <w:rPr>
          <w:b/>
        </w:rPr>
        <w:t xml:space="preserve">Ergebnis: </w:t>
      </w:r>
      <w:r>
        <w:t>Mittlerer systolischer Druck ≤100 mmHg: 80 % erreichten primäres Composite (25 %-GFR-Abfall oder Dialyse oder 1-Jahres-Mortalität) vs. 46–51 % bei höheren Drücken (p&lt;0,001). Angepasste 1-Jahres-Mortalität: HR 2,89 (95%-KI 1,68–4,99); 30-Tage-Mortalität HR 2,79 (95%-KI 1,12–6,96).</w:t>
      </w:r>
    </w:p>
    <w:p>
      <w:r>
        <w:rPr>
          <w:b/>
          <w:sz w:val="19"/>
        </w:rPr>
        <w:t xml:space="preserve">Übertragbarkeit: </w:t>
      </w:r>
      <w:r>
        <w:rPr>
          <w:sz w:val="19"/>
        </w:rPr>
        <w:t>Thailand, Einzelzenter, Blutdruck-Prognostik für Sepsis international vergleichbar.</w:t>
      </w:r>
    </w:p>
    <w:p>
      <w:r>
        <w:rPr>
          <w:color w:val="5A7D3A"/>
          <w:sz w:val="18"/>
        </w:rPr>
        <w:t>https://pubmed.ncbi.nlm.nih.gov/42768944/</w:t>
      </w:r>
    </w:p>
    <w:p>
      <w:pPr>
        <w:pStyle w:val="Heading2"/>
      </w:pPr>
      <w:r>
        <w:t>Ernährungsindex und Inflammation treffen Sepsismortalität besser als SOFA-Score allein</w:t>
      </w:r>
    </w:p>
    <w:p>
      <w:r>
        <w:rPr>
          <w:i/>
          <w:color w:val="666666"/>
          <w:sz w:val="18"/>
        </w:rPr>
        <w:t>Zhang L et al.  ·  BMC Infect Dis  ·  12.08.2026  ·  PMID 42768332</w:t>
      </w:r>
    </w:p>
    <w:p>
      <w:r>
        <w:t>Retrospektive Kohorte: 149 Klinikkranke und 200 MIMIC-IV-Patienten mit Sepsis; Kaplan-Meier, Cox-Regression; Prognoseernährungsindex (PNI) und Neapel-Prognose-Score (NPS).</w:t>
      </w:r>
    </w:p>
    <w:p>
      <w:r>
        <w:rPr>
          <w:b/>
        </w:rPr>
        <w:t xml:space="preserve">Ergebnis: </w:t>
      </w:r>
      <w:r>
        <w:t>Niedrige PNI (&lt;32,1) und hohe NPS unabhängig mit 28-Tage-Mortalität assoziiert. Kombiniertes ROC-Modell (PNI+NPS): AUC 0,805 (klinische Kohorte) und 0,806 (MIMIC). Vorhersagekraft besser als SOFA allein. Kalibrierungskurven zeigten hohe Übereinstimmung.</w:t>
      </w:r>
    </w:p>
    <w:p>
      <w:r>
        <w:rPr>
          <w:b/>
          <w:sz w:val="19"/>
        </w:rPr>
        <w:t xml:space="preserve">Übertragbarkeit: </w:t>
      </w:r>
      <w:r>
        <w:rPr>
          <w:sz w:val="19"/>
        </w:rPr>
        <w:t>China/USA-Datensätze, validiert in zwei unabhängigen Kohorten, Marker international verfügbar.</w:t>
      </w:r>
    </w:p>
    <w:p>
      <w:r>
        <w:rPr>
          <w:color w:val="5A7D3A"/>
          <w:sz w:val="18"/>
        </w:rPr>
        <w:t>https://pubmed.ncbi.nlm.nih.gov/42768332/</w:t>
      </w:r>
    </w:p>
    <w:p>
      <w:pPr>
        <w:pStyle w:val="Heading1"/>
      </w:pPr>
      <w:r>
        <w:t>Aufgenommen am 23.09.2026</w:t>
      </w:r>
    </w:p>
    <w:p>
      <w:pPr>
        <w:pStyle w:val="Heading2"/>
      </w:pPr>
      <w:r>
        <w:t>Antibiotic Stewardship: Unterschiede zwischen Hausärzten, Zahnärzten und Infektiologen in Belgien</w:t>
      </w:r>
    </w:p>
    <w:p>
      <w:r>
        <w:rPr>
          <w:i/>
          <w:color w:val="666666"/>
          <w:sz w:val="18"/>
        </w:rPr>
        <w:t>Mann C et al.  ·  Fam Pract  ·  31.07.2026  ·  PMID 42770645</w:t>
      </w:r>
    </w:p>
    <w:p>
      <w:r>
        <w:t>Querschnittsbefragung von 260 belgischen Akteuren (104 Hausärzte, 103 Zahnärzte, 53 Infektiologen) zu Wahrnehmungen und Verhalten bei Antibiotikaresistenz und unangemessener Verschreibung.</w:t>
      </w:r>
    </w:p>
    <w:p>
      <w:r>
        <w:rPr>
          <w:b/>
        </w:rPr>
        <w:t xml:space="preserve">Ergebnis: </w:t>
      </w:r>
      <w:r>
        <w:t>Etwa 50% der Fachleute gaben unangemessene Verschreibung zu; Haupttreiber waren Präventionssorgen und Komplikationsfurcht. Interdisziplinäre Zusammenarbeit und Bildung wurden als Schlüssellösungen identifiziert; deutliche Wissenslücken zur Antibiotic Stewardship bleiben trotz hohen AMR-Bewusstseins.</w:t>
      </w:r>
    </w:p>
    <w:p>
      <w:r>
        <w:rPr>
          <w:b/>
          <w:sz w:val="19"/>
        </w:rPr>
        <w:t xml:space="preserve">Übertragbarkeit: </w:t>
      </w:r>
      <w:r>
        <w:rPr>
          <w:sz w:val="19"/>
        </w:rPr>
        <w:t>Belgien, vergleichbares europäisches Versicherungs- und Gesundheitssystem.</w:t>
      </w:r>
    </w:p>
    <w:p>
      <w:r>
        <w:rPr>
          <w:color w:val="5A7D3A"/>
          <w:sz w:val="18"/>
        </w:rPr>
        <w:t>https://pubmed.ncbi.nlm.nih.gov/42770645/</w:t>
      </w:r>
    </w:p>
    <w:p>
      <w:pPr>
        <w:pStyle w:val="Heading2"/>
      </w:pPr>
      <w:r>
        <w:t>Gesichtsmasken bei invasiven Eingriffen verhindern postoperative Infektionen nicht</w:t>
      </w:r>
    </w:p>
    <w:p>
      <w:r>
        <w:rPr>
          <w:i/>
          <w:color w:val="666666"/>
          <w:sz w:val="18"/>
        </w:rPr>
        <w:t>Steen K et al.  ·  Tidsskr Nor Laegeforen  ·  22.09.2026  ·  PMID 42770419</w:t>
      </w:r>
    </w:p>
    <w:p>
      <w:r>
        <w:t>Systematische Übersichtsarbeit zu 9 Studien über Nutzen von Mund-Nasen-Schutz bei invasiven chirurgischen Verfahren zur Vermeidung postoperativer Infektionen.</w:t>
      </w:r>
    </w:p>
    <w:p>
      <w:r>
        <w:rPr>
          <w:b/>
        </w:rPr>
        <w:t xml:space="preserve">Ergebnis: </w:t>
      </w:r>
      <w:r>
        <w:t>Acht von neun Studien, darunter die zwei methodisch hochwertigsten, zeigten keinen signifikanten Unterschied in Infektionsraten mit versus ohne Masken; Unterschiede zwischen Gruppen: 1,2% und 3,5%; eine Studie fand höhere Infektionsrate mit Masken – insgesamt unzureichende hochwertige Evidenz.</w:t>
      </w:r>
    </w:p>
    <w:p>
      <w:r>
        <w:rPr>
          <w:b/>
          <w:sz w:val="19"/>
        </w:rPr>
        <w:t xml:space="preserve">Übertragbarkeit: </w:t>
      </w:r>
      <w:r>
        <w:rPr>
          <w:sz w:val="19"/>
        </w:rPr>
        <w:t>Norwegen, Evidenz vom Operationssaal übertragbar auf deutsche Hygienepraxis.</w:t>
      </w:r>
    </w:p>
    <w:p>
      <w:r>
        <w:rPr>
          <w:color w:val="5A7D3A"/>
          <w:sz w:val="18"/>
        </w:rPr>
        <w:t>https://pubmed.ncbi.nlm.nih.gov/42770419/</w:t>
      </w:r>
    </w:p>
    <w:p>
      <w:pPr>
        <w:pStyle w:val="Heading2"/>
      </w:pPr>
      <w:r>
        <w:t>Händehygiene-Monitoring: ethische Lösungen bei klinischer Anwendung</w:t>
      </w:r>
    </w:p>
    <w:p>
      <w:r>
        <w:rPr>
          <w:i/>
          <w:color w:val="666666"/>
          <w:sz w:val="18"/>
        </w:rPr>
        <w:t>Russow F et al.  ·  BMC Med Ethics  ·  22.09.2026  ·  PMID 42768345</w:t>
      </w:r>
    </w:p>
    <w:p>
      <w:r>
        <w:t>Interdisziplinäre Analyse ethischer Konflikte bei automatisiertem Monitoring von Händehygiene im Krankenhaus, mit Fallstudie aus Deutschland (Stralsund).</w:t>
      </w:r>
    </w:p>
    <w:p>
      <w:r>
        <w:rPr>
          <w:b/>
        </w:rPr>
        <w:t xml:space="preserve">Ergebnis: </w:t>
      </w:r>
      <w:r>
        <w:t>Optimierte Implementierungsstrategien minimieren ethische Spannungen zwischen Patientensicherheit und akzeptabler Arbeitsumgebung; partizipative Systementwicklung mit Personal und transparente, nicht-punitive Nutzung kollektiver Daten erhöhen Nutzerakzeptanz und Hygiene-Compliance.</w:t>
      </w:r>
    </w:p>
    <w:p>
      <w:r>
        <w:rPr>
          <w:b/>
          <w:sz w:val="19"/>
        </w:rPr>
        <w:t xml:space="preserve">Übertragbarkeit: </w:t>
      </w:r>
      <w:r>
        <w:rPr>
          <w:sz w:val="19"/>
        </w:rPr>
        <w:t>Deutschland, direkte Anwendung auf deutsche Kliniken und Hygiene-Anforderungen.</w:t>
      </w:r>
    </w:p>
    <w:p>
      <w:r>
        <w:rPr>
          <w:color w:val="5A7D3A"/>
          <w:sz w:val="18"/>
        </w:rPr>
        <w:t>https://pubmed.ncbi.nlm.nih.gov/42768345/</w:t>
      </w:r>
    </w:p>
    <w:p>
      <w:pPr>
        <w:pStyle w:val="Heading2"/>
      </w:pPr>
      <w:r>
        <w:t>Tobramycin-resistenter S. aureus in Neonatalintensivstation: Hygiene und Antibiotikaregime beendeten Ausbruch</w:t>
      </w:r>
    </w:p>
    <w:p>
      <w:r>
        <w:rPr>
          <w:i/>
          <w:color w:val="666666"/>
          <w:sz w:val="18"/>
        </w:rPr>
        <w:t>Jogenfors A et al.  ·  BMC Infect Dis  ·  18.09.2026  ·  PMID 42768321</w:t>
      </w:r>
    </w:p>
    <w:p>
      <w:r>
        <w:t>Zehnjähriger Ausbruch mit resistentem Staphylococcus aureus in schwedischer Neugeborenen-Intensivstation; Interventionen waren Hygienemaßnahmen, Milchpasteurisierung und Wechsel des Antibiotikaregimes von Tobramycin zu Amikacin.</w:t>
      </w:r>
    </w:p>
    <w:p>
      <w:r>
        <w:rPr>
          <w:b/>
        </w:rPr>
        <w:t xml:space="preserve">Ergebnis: </w:t>
      </w:r>
      <w:r>
        <w:t>S.-aureus-Prävalenz sank von 71% (2010–2011) auf 52% (2013) nach Hygiene und Pasteurisierung; die Prävalenz des resistenten Stamms fiel signifikant erst nach Stationsrekonstruktion und Antibiotikaregimewechsel ab – letztlich 2019 apparent ausbabgeheilt, 5 Jahre nach Regimewechsel, mit 0 Sepsis-Fällen danach.</w:t>
      </w:r>
    </w:p>
    <w:p>
      <w:r>
        <w:rPr>
          <w:b/>
          <w:sz w:val="19"/>
        </w:rPr>
        <w:t xml:space="preserve">Übertragbarkeit: </w:t>
      </w:r>
      <w:r>
        <w:rPr>
          <w:sz w:val="19"/>
        </w:rPr>
        <w:t>Schweden, vergleichbares Hygiene- und Intensivmedizin-System, praktische Interventionskombination.</w:t>
      </w:r>
    </w:p>
    <w:p>
      <w:r>
        <w:rPr>
          <w:color w:val="5A7D3A"/>
          <w:sz w:val="18"/>
        </w:rPr>
        <w:t>https://pubmed.ncbi.nlm.nih.gov/42768321/</w:t>
      </w:r>
    </w:p>
    <w:p>
      <w:pPr>
        <w:pStyle w:val="Heading2"/>
      </w:pPr>
      <w:r>
        <w:t>Masking-Effekt in spanischer Arzneimittelüberwachung deckt verborgene Sicherheitssignale auf</w:t>
      </w:r>
    </w:p>
    <w:p>
      <w:r>
        <w:rPr>
          <w:i/>
          <w:color w:val="666666"/>
          <w:sz w:val="18"/>
        </w:rPr>
        <w:t>Sols Cueto N et al.  ·  Eur J Clin Pharmacol  ·  21.09.2026  ·  PMID 42766149</w:t>
      </w:r>
    </w:p>
    <w:p>
      <w:r>
        <w:t>Analyse des Masking-Effekts in der spanischen Spontanmeldedatenbank FEDRA, bei dem extreme Arzneimittel-Ereignis-Kombinationen andere Sicherheitssignale überlagern.</w:t>
      </w:r>
    </w:p>
    <w:p>
      <w:r>
        <w:rPr>
          <w:b/>
        </w:rPr>
        <w:t xml:space="preserve">Ergebnis: </w:t>
      </w:r>
      <w:r>
        <w:t>0,4% (1.211/287.145) der Kombinationen waren einflussreiche Ausreißer; 21% aller Berichte enthielten solche Ausreißer; Ausschluss nach sechs Entmaskungsstrategien erhöhte das untere 95%-Konfidenzintervall bei 14,6–48,1% der Kombinationen und offenbarte bisher verborgene Sicherheitssignale.</w:t>
      </w:r>
    </w:p>
    <w:p>
      <w:r>
        <w:rPr>
          <w:b/>
          <w:sz w:val="19"/>
        </w:rPr>
        <w:t xml:space="preserve">Übertragbarkeit: </w:t>
      </w:r>
      <w:r>
        <w:rPr>
          <w:sz w:val="19"/>
        </w:rPr>
        <w:t>Spanien, methodisch auf europäische Überwachungssysteme übertragbar.</w:t>
      </w:r>
    </w:p>
    <w:p>
      <w:r>
        <w:rPr>
          <w:color w:val="5A7D3A"/>
          <w:sz w:val="18"/>
        </w:rPr>
        <w:t>https://pubmed.ncbi.nlm.nih.gov/42766149/</w:t>
      </w:r>
    </w:p>
    <w:p>
      <w:pPr>
        <w:pStyle w:val="Heading1"/>
      </w:pPr>
      <w:r>
        <w:t>Aufgenommen am 22.09.2026</w:t>
      </w:r>
    </w:p>
    <w:p>
      <w:pPr>
        <w:pStyle w:val="Heading2"/>
      </w:pPr>
      <w:r>
        <w:t>Hämovigilanz-Schulung schafft Lücke zwischen Wissen und Meldeverhalten bei Transfusionsreaktionen</w:t>
      </w:r>
    </w:p>
    <w:p>
      <w:r>
        <w:rPr>
          <w:i/>
          <w:color w:val="666666"/>
          <w:sz w:val="18"/>
        </w:rPr>
        <w:t>K A et al.  ·  BMJ Open  ·  21.09.2026  ·  PMID 42767730</w:t>
      </w:r>
    </w:p>
    <w:p>
      <w:r>
        <w:t>Querschnittsstudie von 150 Assistenzärzten in einer indischen Fachklinik zur Bewertung von Kenntnissen, Einstellungen und Meldepraktiken (KAP) zur Hämovigilanz und nationalen Transfusionssicherheitssystemen.</w:t>
      </w:r>
    </w:p>
    <w:p>
      <w:r>
        <w:rPr>
          <w:b/>
        </w:rPr>
        <w:t xml:space="preserve">Ergebnis: </w:t>
      </w:r>
      <w:r>
        <w:t>Gutes Wissen (Blutkomponenten) und positive Einstellungen, aber niedriges Meldeverhalten. Moderate Korrelation Wissen–Praxis (ρ=0,63), starke Korrelation Einstellung–Praxis (ρ=0,81). 48,5% Bewusstsein für nationales Meldesystem. Strukturierte Schulung und vereinfachte institutionelle Pfade empfohlen.</w:t>
      </w:r>
    </w:p>
    <w:p>
      <w:r>
        <w:rPr>
          <w:b/>
          <w:sz w:val="19"/>
        </w:rPr>
        <w:t xml:space="preserve">Übertragbarkeit: </w:t>
      </w:r>
      <w:r>
        <w:rPr>
          <w:sz w:val="19"/>
        </w:rPr>
        <w:t>Indien, aber grundsätzlich relevante Befunde für Fehlermeldesysteme; Übertragbarkeit auf deutsche Haemovigilance prüfen</w:t>
      </w:r>
    </w:p>
    <w:p>
      <w:r>
        <w:rPr>
          <w:color w:val="5A7D3A"/>
          <w:sz w:val="18"/>
        </w:rPr>
        <w:t>https://pubmed.ncbi.nlm.nih.gov/42767730/</w:t>
      </w:r>
    </w:p>
    <w:p>
      <w:pPr>
        <w:pStyle w:val="Heading2"/>
      </w:pPr>
      <w:r>
        <w:t>Katheterassoziierte Harnwegsinfektionen durch strukturierte Intervention um ein Drittel gesenkt</w:t>
      </w:r>
    </w:p>
    <w:p>
      <w:r>
        <w:rPr>
          <w:i/>
          <w:color w:val="666666"/>
          <w:sz w:val="18"/>
        </w:rPr>
        <w:t>De Prospo T et al.  ·  Assist Inferm Ric  ·  Juli 2026  ·  PMID 42765959</w:t>
      </w:r>
    </w:p>
    <w:p>
      <w:r>
        <w:t>Qualitätsverbesserungsprojekt in einer italienischen Medizinstation, das zwei PDSA-Zyklen mit Audit-Feedback, Schulung und elektronischen Erinnerungssystemen zur Verbesserung der Urinkatheterverwaltung nutzte.</w:t>
      </w:r>
    </w:p>
    <w:p>
      <w:r>
        <w:rPr>
          <w:b/>
        </w:rPr>
        <w:t xml:space="preserve">Ergebnis: </w:t>
      </w:r>
      <w:r>
        <w:t>Die Dokumentation der Katheterentfernung stieg von 59,2% auf 94,8%, die tägliche Neubewertung von 25% auf 89,6%, die Katheterisierungen sanken von 76 auf 58, und die Inzidenz katheterassoziierter Harnwegsinfektionen (CAUTI) sank von 20 auf 13,77 pro 1.000 Kathetertage, ohne statistische Signifikanz.</w:t>
      </w:r>
    </w:p>
    <w:p>
      <w:r>
        <w:rPr>
          <w:b/>
          <w:sz w:val="19"/>
        </w:rPr>
        <w:t xml:space="preserve">Übertragbarkeit: </w:t>
      </w:r>
      <w:r>
        <w:rPr>
          <w:sz w:val="19"/>
        </w:rPr>
        <w:t>Italien, vergleichbares Sozialversicherungssystem; PDSA-Methode übertragbar auf deutsche Kliniken</w:t>
      </w:r>
    </w:p>
    <w:p>
      <w:r>
        <w:rPr>
          <w:color w:val="5A7D3A"/>
          <w:sz w:val="18"/>
        </w:rPr>
        <w:t>https://pubmed.ncbi.nlm.nih.gov/42765959/</w:t>
      </w:r>
    </w:p>
    <w:p>
      <w:pPr>
        <w:pStyle w:val="Heading2"/>
      </w:pPr>
      <w:r>
        <w:t>Passive Beinhebung identifiziert bei Sepsis diejenigen, die keine Flüssigkeiten brauchen, und spart 4 Liter Volumen</w:t>
      </w:r>
    </w:p>
    <w:p>
      <w:r>
        <w:rPr>
          <w:i/>
          <w:color w:val="666666"/>
          <w:sz w:val="18"/>
        </w:rPr>
        <w:t>Gregory J et al.  ·  Nursing  ·  01.10.2026  ·  PMID 42765758</w:t>
      </w:r>
    </w:p>
    <w:p>
      <w:r>
        <w:t>Vergleichende Kohortenstudie von 336 Septikämie-Patienten in der Notaufnahme zur Bestimmung, ob passive Beinhebung mit ETCO₂-Monitoring die Flüssigkeitsresponsivität vorhersagt und Überinfusion reduziert.</w:t>
      </w:r>
    </w:p>
    <w:p>
      <w:r>
        <w:rPr>
          <w:b/>
        </w:rPr>
        <w:t xml:space="preserve">Ergebnis: </w:t>
      </w:r>
      <w:r>
        <w:t>64% der Patienten mit Beinhebung waren negative Flüssigkeitsresponder; diese erhielten weniger Gesamtflüssigkeit (Differenz nicht signifikant, p=0,06). Interventionsgruppe insgesamt erhielt mehr Flüssigkeit (p&lt;0,001), aber Tachykardie war in der Vorher-Gruppe häufiger (p&lt;0,001).</w:t>
      </w:r>
    </w:p>
    <w:p>
      <w:r>
        <w:rPr>
          <w:b/>
          <w:sz w:val="19"/>
        </w:rPr>
        <w:t xml:space="preserve">Übertragbarkeit: </w:t>
      </w:r>
      <w:r>
        <w:rPr>
          <w:sz w:val="19"/>
        </w:rPr>
        <w:t>USA; Methode nicht an Gesundheitssystem gebunden; Prinzip selektiver Flüssigkeitsgabe ist global relevant</w:t>
      </w:r>
    </w:p>
    <w:p>
      <w:r>
        <w:rPr>
          <w:color w:val="5A7D3A"/>
          <w:sz w:val="18"/>
        </w:rPr>
        <w:t>https://pubmed.ncbi.nlm.nih.gov/42765758/</w:t>
      </w:r>
    </w:p>
    <w:p>
      <w:pPr>
        <w:pStyle w:val="Heading2"/>
      </w:pPr>
      <w:r>
        <w:t>Gezielte Deprescribing sturzrisikofördernder Medikamente verhindert Frakturen bei älteren Patienten</w:t>
      </w:r>
    </w:p>
    <w:p>
      <w:r>
        <w:rPr>
          <w:i/>
          <w:color w:val="666666"/>
          <w:sz w:val="18"/>
        </w:rPr>
        <w:t>Schechner M et al.  ·  Age Ageing  ·  04.09.2026  ·  PMID 42765722</w:t>
      </w:r>
    </w:p>
    <w:p>
      <w:r>
        <w:t>Deutsche Kohortenstudie mit 120.867 Personen ≥65 Jahren, die den Nutzen selektiver Stratifizierung sturzrisikofördernder Arzneimittel für die Prävention von sturzassoziierten Hospitalisierungen prüfte.</w:t>
      </w:r>
    </w:p>
    <w:p>
      <w:r>
        <w:rPr>
          <w:b/>
        </w:rPr>
        <w:t xml:space="preserve">Ergebnis: </w:t>
      </w:r>
      <w:r>
        <w:t>Pharmazeutische Untergruppen (SSRIs, ältere Antiepileptika, Anticholinergika) ermöglichten klinisch nützliche Risikodifferenzierung (AUC 0,73), während FRIAR-Klassifikation weniger Prognosewert bot. 2,3% erlebten sturzbedingte Hospitalisierung; gezieltes Review ist effizienter als Breitscreening.</w:t>
      </w:r>
    </w:p>
    <w:p>
      <w:r>
        <w:rPr>
          <w:b/>
          <w:sz w:val="19"/>
        </w:rPr>
        <w:t xml:space="preserve">Übertragbarkeit: </w:t>
      </w:r>
      <w:r>
        <w:rPr>
          <w:sz w:val="19"/>
        </w:rPr>
        <w:t>Deutschland, Daten aus LMU-Klinika; unmittelbar auf deutsche Praxis übertragbar</w:t>
      </w:r>
    </w:p>
    <w:p>
      <w:r>
        <w:rPr>
          <w:color w:val="5A7D3A"/>
          <w:sz w:val="18"/>
        </w:rPr>
        <w:t>https://pubmed.ncbi.nlm.nih.gov/42765722/</w:t>
      </w:r>
    </w:p>
    <w:p>
      <w:pPr>
        <w:pStyle w:val="Heading2"/>
      </w:pPr>
      <w:r>
        <w:t>Intrawund-Vancomycin senkt Infektionsrisiko nach orthopädischen Operationen um 21 Prozent</w:t>
      </w:r>
    </w:p>
    <w:p>
      <w:r>
        <w:rPr>
          <w:i/>
          <w:color w:val="666666"/>
          <w:sz w:val="18"/>
        </w:rPr>
        <w:t>Patel S et al.  ·  BJS Open  ·  04.09.2026  ·  PMID 42765564</w:t>
      </w:r>
    </w:p>
    <w:p>
      <w:r>
        <w:t>Metaanalyse von 22 RCTs mit 8.424 Patienten zur Effektivität von Intrawund-Vancomycin bei der Prävention chirurgischer Wundinfektionen in verschiedenen Eingriffstypen.</w:t>
      </w:r>
    </w:p>
    <w:p>
      <w:r>
        <w:rPr>
          <w:b/>
        </w:rPr>
        <w:t xml:space="preserve">Ergebnis: </w:t>
      </w:r>
      <w:r>
        <w:t>Intrawund-Vancomycin reduzierte Wundinfektionen insgesamt (RR 0,79; 95%-KI 0,64–0,99), besonders gram-positive Infektionen (RR 0,53; 95%-KI 0,35–0,79); NNT 82 bzw. 78. Tiefe/oberflächliche Infektionen, Reoperation, Sterblichkeit und Liegedauer unterschieden sich nicht signifikant.</w:t>
      </w:r>
    </w:p>
    <w:p>
      <w:r>
        <w:rPr>
          <w:b/>
          <w:sz w:val="19"/>
        </w:rPr>
        <w:t xml:space="preserve">Übertragbarkeit: </w:t>
      </w:r>
      <w:r>
        <w:rPr>
          <w:sz w:val="19"/>
        </w:rPr>
        <w:t>Überwiegend europäische und nordamerikanische Studien; moderate Evidenzsicherheit; selektiver Einsatz statt Routineanwendung</w:t>
      </w:r>
    </w:p>
    <w:p>
      <w:r>
        <w:rPr>
          <w:color w:val="5A7D3A"/>
          <w:sz w:val="18"/>
        </w:rPr>
        <w:t>https://pubmed.ncbi.nlm.nih.gov/42765564/</w:t>
      </w:r>
    </w:p>
    <w:p>
      <w:pPr>
        <w:pStyle w:val="Heading2"/>
      </w:pPr>
      <w:r>
        <w:t>Semi-aufrechte Position senkt beatmungsassoziierte Pneumonie um 58 Prozent</w:t>
      </w:r>
    </w:p>
    <w:p>
      <w:r>
        <w:rPr>
          <w:i/>
          <w:color w:val="666666"/>
          <w:sz w:val="18"/>
        </w:rPr>
        <w:t>Jiang W et al.  ·  Cochrane Database Syst Rev  ·  21.09.2026  ·  PMID 42765454</w:t>
      </w:r>
    </w:p>
    <w:p>
      <w:r>
        <w:t>Cochrane-Update mit 48 RCTs und 7.955 Patienten zur Effektivität der semi-aufrechten Position (30–45°) zur Prävention beatmungsassoziierter Pneumonie (VAP) auf Intensivstationen.</w:t>
      </w:r>
    </w:p>
    <w:p>
      <w:r>
        <w:rPr>
          <w:b/>
        </w:rPr>
        <w:t xml:space="preserve">Ergebnis: </w:t>
      </w:r>
      <w:r>
        <w:t>Semi-aufrecht (30–45°) vs. supine: VAP-Reduktion RR 0,42 (95%-KI 0,33–0,52; hohe Evidenzsicherheit), möglich kürzere Beatmungsdauer (MD −3,26 Tage). 30–45° vs. &lt;30°: RR 0,48 (hohe Sicherheit). Höhere Positionen erhöhten Druckgeschwüre; Sterblichkeit unterschied sich nicht.</w:t>
      </w:r>
    </w:p>
    <w:p>
      <w:r>
        <w:rPr>
          <w:b/>
          <w:sz w:val="19"/>
        </w:rPr>
        <w:t xml:space="preserve">Übertragbarkeit: </w:t>
      </w:r>
      <w:r>
        <w:rPr>
          <w:sz w:val="19"/>
        </w:rPr>
        <w:t>Internationale Evidenz, auf deutsche Intensivstationen unmittelbar übertragbar</w:t>
      </w:r>
    </w:p>
    <w:p>
      <w:r>
        <w:rPr>
          <w:color w:val="5A7D3A"/>
          <w:sz w:val="18"/>
        </w:rPr>
        <w:t>https://pubmed.ncbi.nlm.nih.gov/42765454/</w:t>
      </w:r>
    </w:p>
    <w:p>
      <w:pPr>
        <w:pStyle w:val="Heading2"/>
      </w:pPr>
      <w:r>
        <w:t>Weniger begleitende Antiepileptika reduzieren Verträglichkeit von Cenobamat deutlich</w:t>
      </w:r>
    </w:p>
    <w:p>
      <w:r>
        <w:rPr>
          <w:i/>
          <w:color w:val="666666"/>
          <w:sz w:val="18"/>
        </w:rPr>
        <w:t>Steinhoff BJ et al.  ·  Eur J Neurol  ·  Juli 2026  ·  PMID 42496054</w:t>
      </w:r>
    </w:p>
    <w:p>
      <w:r>
        <w:t>Post-hoc-Analyse eines offenen Cenobamat-Trials (n=1.340) mit fokalen Anfällen zur Quantifizierung von Häufigkeit, Schweregrad und Auflösungszeit unerwünschter Ereignisse unter verschiedenen Konkomitanzregimen.</w:t>
      </w:r>
    </w:p>
    <w:p>
      <w:r>
        <w:rPr>
          <w:b/>
        </w:rPr>
        <w:t xml:space="preserve">Ergebnis: </w:t>
      </w:r>
      <w:r>
        <w:t>Schwindel, Somnolenz und Fatigue stiegen mit mehr begleitenden Antiepileptika, besonders kombiniert mit Benzodiazepinen oder ≥2 Natriumkanalblocker. Mediane Auflösungszeit häufiger Ereignisse war kürzer bei weniger Begleitmedikation. Schwere Ereignisse nahmen mit mehr Konkomitanzmedikation zu (außer Kopfschmerz).</w:t>
      </w:r>
    </w:p>
    <w:p>
      <w:r>
        <w:rPr>
          <w:b/>
          <w:sz w:val="19"/>
        </w:rPr>
        <w:t xml:space="preserve">Übertragbarkeit: </w:t>
      </w:r>
      <w:r>
        <w:rPr>
          <w:sz w:val="19"/>
        </w:rPr>
        <w:t>Deutschland, European Journal; Pharmakovigilanz-Ergebnisse sind generalisierbar</w:t>
      </w:r>
    </w:p>
    <w:p>
      <w:r>
        <w:rPr>
          <w:color w:val="5A7D3A"/>
          <w:sz w:val="18"/>
        </w:rPr>
        <w:t>https://pubmed.ncbi.nlm.nih.gov/42496054/</w:t>
      </w:r>
    </w:p>
    <w:p>
      <w:pPr>
        <w:pStyle w:val="Heading1"/>
      </w:pPr>
      <w:r>
        <w:t>Aufgenommen am 21.09.2026</w:t>
      </w:r>
    </w:p>
    <w:p>
      <w:pPr>
        <w:pStyle w:val="Heading2"/>
      </w:pPr>
      <w:r>
        <w:t>Ärzte wünschen sich bessere REMS-Kommunikation und EMR-Integration</w:t>
      </w:r>
    </w:p>
    <w:p>
      <w:r>
        <w:rPr>
          <w:i/>
          <w:color w:val="666666"/>
          <w:sz w:val="18"/>
        </w:rPr>
        <w:t>Zakoul H et al.  ·  Pharmacoepidemiol Drug Saf  ·  Okt. 2026  ·  PMID 42764159</w:t>
      </w:r>
    </w:p>
    <w:p>
      <w:r>
        <w:t>Qualitative Studie mit 50 Ärzten, die Risk Evaluation and Mitigation Strategy (REMS)-Programme für 7 Hochrisikomedikamente anwendeten: semi-strukturierte Interviews zu Verständnis, Nutzen und Kommunikationspräferenzen.</w:t>
      </w:r>
    </w:p>
    <w:p>
      <w:r>
        <w:rPr>
          <w:b/>
        </w:rPr>
        <w:t xml:space="preserve">Ergebnis: </w:t>
      </w:r>
      <w:r>
        <w:t>Ärzte verstanden REMS-Risiken, wünschten sich aber Informationen zu nicht abgedeckten Nebenwirkungen. Manche berichteten Lücken in Enrollmentformularen; viele wünschten EMR-Integration. Bevorzugte Lernform: kurze elektronische Materialien (E-Mails, Videos) statt Papier, mit Benefit-Risk-Zusammenfassungen und Links zu Studien. Materialien sollten zeitnah aktualisiert werden.</w:t>
      </w:r>
    </w:p>
    <w:p>
      <w:r>
        <w:rPr>
          <w:b/>
          <w:sz w:val="19"/>
        </w:rPr>
        <w:t xml:space="preserve">Übertragbarkeit: </w:t>
      </w:r>
      <w:r>
        <w:rPr>
          <w:sz w:val="19"/>
        </w:rPr>
        <w:t>USA - Melde- und Haftungsrecht unterscheiden sich; Sicherheitsbefund zum Informationsbedarf übertragbar</w:t>
      </w:r>
    </w:p>
    <w:p>
      <w:r>
        <w:rPr>
          <w:color w:val="5A7D3A"/>
          <w:sz w:val="18"/>
        </w:rPr>
        <w:t>https://pubmed.ncbi.nlm.nih.gov/42764159/</w:t>
      </w:r>
    </w:p>
    <w:p>
      <w:pPr>
        <w:pStyle w:val="Heading2"/>
      </w:pPr>
      <w:r>
        <w:t>Lokale Hautdesinfektion vor Hüftfrakturchirurgie senkte Wundinfektionen nicht</w:t>
      </w:r>
    </w:p>
    <w:p>
      <w:r>
        <w:rPr>
          <w:i/>
          <w:color w:val="666666"/>
          <w:sz w:val="18"/>
        </w:rPr>
        <w:t>Sterner EM et al.  ·  Int Wound J  ·  Sept. 2026  ·  PMID 42764157</w:t>
      </w:r>
    </w:p>
    <w:p>
      <w:r>
        <w:t>Vergleich von Ganzkörper- vs. lokaler Hautdesinfektion mit Chlorhexidinglucconat vor Hüftfrakturop: 844 Patienten, 90 Tage Nachverfolgung.</w:t>
      </w:r>
    </w:p>
    <w:p>
      <w:r>
        <w:rPr>
          <w:b/>
        </w:rPr>
        <w:t xml:space="preserve">Ergebnis: </w:t>
      </w:r>
      <w:r>
        <w:t>Wundinfektionsrate 1,7%, ohne signifikanten Unterschied zwischen Ganzkörper (1,9%) und lokalen Wipes (1,0%, p&gt;0,05). Chronische Nierenerkrankung war signifikant mit lokalen Infektionen assoziiert (p=0,005). Lokale Hautdesinfektion zeigte vergleichbare Effektivität wie Ganzkörperbehandlung.</w:t>
      </w:r>
    </w:p>
    <w:p>
      <w:r>
        <w:rPr>
          <w:b/>
          <w:sz w:val="19"/>
        </w:rPr>
        <w:t xml:space="preserve">Übertragbarkeit: </w:t>
      </w:r>
      <w:r>
        <w:rPr>
          <w:sz w:val="19"/>
        </w:rPr>
        <w:t>Schweden, vergleichbare Operationsstandards und Infektionsprävention</w:t>
      </w:r>
    </w:p>
    <w:p>
      <w:r>
        <w:rPr>
          <w:color w:val="5A7D3A"/>
          <w:sz w:val="18"/>
        </w:rPr>
        <w:t>https://pubmed.ncbi.nlm.nih.gov/42764157/</w:t>
      </w:r>
    </w:p>
    <w:p>
      <w:pPr>
        <w:pStyle w:val="Heading2"/>
      </w:pPr>
      <w:r>
        <w:t>Nosokomiale Kinderseppen tödlicher als ambulant erworben: Irland 2020-2025</w:t>
      </w:r>
    </w:p>
    <w:p>
      <w:r>
        <w:rPr>
          <w:i/>
          <w:color w:val="666666"/>
          <w:sz w:val="18"/>
        </w:rPr>
        <w:t>Ravichandran N et al.  ·  Eur J Pediatr  ·  19.09.2026  ·  PMID 42763313</w:t>
      </w:r>
    </w:p>
    <w:p>
      <w:r>
        <w:t>Retrospektive Observationsstudie aller kindlichen Sepsisaufnahmen (n=4442) in Irland mit Vergleich nosokomial vs. ambulant erworben und Analyse von Komorbiditäten.</w:t>
      </w:r>
    </w:p>
    <w:p>
      <w:r>
        <w:rPr>
          <w:b/>
        </w:rPr>
        <w:t xml:space="preserve">Ergebnis: </w:t>
      </w:r>
      <w:r>
        <w:t>30,7% nosokomiale, 69,3% ambulant erworbene Sepsis. Nosokomiale Sepsis mit höherer Intensivbetreuung (84,0% vs. 32,3%, p&lt;0,001) und Mortalität (7,6% vs. 1,8%, p&lt;0,001). Komorbiditäten unabhängig assoziiert mit ICU-Aufnahme (adjustiertes OR 2,66–4,88) und Mortalität (OR 7,18), aber schwere Erkrankung auch ohne dokumentierte Komorbiditäten.</w:t>
      </w:r>
    </w:p>
    <w:p>
      <w:r>
        <w:rPr>
          <w:b/>
          <w:sz w:val="19"/>
        </w:rPr>
        <w:t xml:space="preserve">Übertragbarkeit: </w:t>
      </w:r>
      <w:r>
        <w:rPr>
          <w:sz w:val="19"/>
        </w:rPr>
        <w:t>Irland, vergleichbare britische und europäische Kindermedizin</w:t>
      </w:r>
    </w:p>
    <w:p>
      <w:r>
        <w:rPr>
          <w:color w:val="5A7D3A"/>
          <w:sz w:val="18"/>
        </w:rPr>
        <w:t>https://pubmed.ncbi.nlm.nih.gov/42763313/</w:t>
      </w:r>
    </w:p>
    <w:p>
      <w:pPr>
        <w:pStyle w:val="Heading2"/>
      </w:pPr>
      <w:r>
        <w:t>Dendritische Zellen in Sepsis: Depletion, Dysfunktion und fehlende validierte Therapieziele</w:t>
      </w:r>
    </w:p>
    <w:p>
      <w:r>
        <w:rPr>
          <w:i/>
          <w:color w:val="666666"/>
          <w:sz w:val="18"/>
        </w:rPr>
        <w:t>Xu X et al.  ·  Front Immunol  ·  03.09.2026  ·  PMID 42756155</w:t>
      </w:r>
    </w:p>
    <w:p>
      <w:r>
        <w:t>Systematische narrative Übersichtsarbeit zur Rolle dendritischer Zellen in der Sepsisimmunodysregulation, mit kritischer Bewertung von Humanstudien und Tiermodellen zu Mechanismen und therapeutischen Ansätzen.</w:t>
      </w:r>
    </w:p>
    <w:p>
      <w:r>
        <w:rPr>
          <w:b/>
        </w:rPr>
        <w:t xml:space="preserve">Ergebnis: </w:t>
      </w:r>
      <w:r>
        <w:t>Humane Blutdaten zeigen verringerte Anzahl dendritischer Zellen, veränderten Phänotyp und beeinträchtigte Reaktivität. Tierexperimente demonstrieren Depletionen in Milz, Knochemark und Geweben. Vier mögliche Beiträge: Depletion, Dysfunktion, Umverteilung, beeinträchtigte Regeneration. Keine validierten dendritischen-Zellen-Endotypen, Triggerpunkte, Biomarker oder Therapien. Blutbefunde nicht äquivalent zu Tierverstümmellungen. MregDC-Programm: explorativ ohne validiertes menschliches Äquivalent.</w:t>
      </w:r>
    </w:p>
    <w:p>
      <w:r>
        <w:rPr>
          <w:b/>
          <w:sz w:val="19"/>
        </w:rPr>
        <w:t xml:space="preserve">Übertragbarkeit: </w:t>
      </w:r>
      <w:r>
        <w:rPr>
          <w:sz w:val="19"/>
        </w:rPr>
        <w:t>Europäische und kanadische Literatur; konzeptionelle Übersicht ohne operative Messung</w:t>
      </w:r>
    </w:p>
    <w:p>
      <w:r>
        <w:rPr>
          <w:color w:val="5A7D3A"/>
          <w:sz w:val="18"/>
        </w:rPr>
        <w:t>https://pubmed.ncbi.nlm.nih.gov/42756155/</w:t>
      </w:r>
    </w:p>
    <w:p>
      <w:pPr>
        <w:pStyle w:val="Heading2"/>
      </w:pPr>
      <w:r>
        <w:t>Sepsisinduzierte Immunsuppression: Mechanismen und offene Fragen zur Therapie</w:t>
      </w:r>
    </w:p>
    <w:p>
      <w:r>
        <w:rPr>
          <w:i/>
          <w:color w:val="666666"/>
          <w:sz w:val="18"/>
        </w:rPr>
        <w:t>Couwenbergh T et al.  ·  Crit Care Clin  ·  17.06.2026  ·  PMID 42686302</w:t>
      </w:r>
    </w:p>
    <w:p>
      <w:r>
        <w:t>Narrative Übersichtsarbeit zur pathophysiologischen Rolle der Immunsuppression in der Sepsis und zur bisherigen Evidenz für immunmodulierende Therapien (Zytokine, Checkpoint-Inhibitoren, Stammzellen).</w:t>
      </w:r>
    </w:p>
    <w:p>
      <w:r>
        <w:rPr>
          <w:b/>
        </w:rPr>
        <w:t xml:space="preserve">Ergebnis: </w:t>
      </w:r>
      <w:r>
        <w:t>Hauptmechanismen: Funktionsumprograammierung von Myeloidzellen, Lymphozytenverlust, besonders CD4+ und CD8+ T-Zellen. Therapeutische Ansätze (Zytokine, Checkpoint-Inhibitoren, mesenchymale Stammzellen) unter Untersuchung, aber klinische Wirksamkeit unklar. Immunsuppression trägt zu Mortalität, Sekundärinfektionen und Langzeitkomplikationen bei.</w:t>
      </w:r>
    </w:p>
    <w:p>
      <w:r>
        <w:rPr>
          <w:b/>
          <w:sz w:val="19"/>
        </w:rPr>
        <w:t xml:space="preserve">Übertragbarkeit: </w:t>
      </w:r>
      <w:r>
        <w:rPr>
          <w:sz w:val="19"/>
        </w:rPr>
        <w:t>Niederlande, europäische Intensivmedizin; konzeptionelle Übersicht ohne Messung einer Intervention</w:t>
      </w:r>
    </w:p>
    <w:p>
      <w:r>
        <w:rPr>
          <w:color w:val="5A7D3A"/>
          <w:sz w:val="18"/>
        </w:rPr>
        <w:t>https://pubmed.ncbi.nlm.nih.gov/42686302/</w:t>
      </w:r>
    </w:p>
    <w:p>
      <w:pPr>
        <w:pStyle w:val="Heading1"/>
      </w:pPr>
      <w:r>
        <w:t>Aufgenommen am 20.09.2026</w:t>
      </w:r>
    </w:p>
    <w:p>
      <w:pPr>
        <w:pStyle w:val="Heading2"/>
      </w:pPr>
      <w:r>
        <w:t>Selbstbetreuung und Antibiotikaresistenz: Empfehlungen für nationale Programme und Selbstversorger</w:t>
      </w:r>
    </w:p>
    <w:p>
      <w:r>
        <w:rPr>
          <w:i/>
          <w:color w:val="666666"/>
          <w:sz w:val="18"/>
        </w:rPr>
        <w:t>Kiggundu R et al.  ·  Front Public Health  ·  03.09.2026  ·  PMID 42755611</w:t>
      </w:r>
    </w:p>
    <w:p>
      <w:r>
        <w:t>Narrative Übersichtsarbeit untersucht fünf Kernstrategien der Selbstbetreuung zur Eindämmung der Antibiotikaresistenz: Aufklärung, Schnelltests, gelenkte Selbstbehandlung, digitale Selbstüberwachung und strukturiertes Selbstmanagement.</w:t>
      </w:r>
    </w:p>
    <w:p>
      <w:r>
        <w:rPr>
          <w:b/>
        </w:rPr>
        <w:t xml:space="preserve">Ergebnis: </w:t>
      </w:r>
      <w:r>
        <w:t>Selbstbetreuungsstrategien ermöglichen frühe Infektionserkennung, fördern angemessene Antibiotikaanwendung und entlasten Gesundheitssysteme. Implementierung gehindert durch begrenzte Zugang zu zuverlässiger AMR-Information, Missdiagnose-Risiken, Datenschutzbedenken und Verhaltenschwierigkeiten. Policymaker sollten Richtlinienintegration, standardisierte Vorgaben, Regulation und Infrastrukturentwicklung priorisieren.</w:t>
      </w:r>
    </w:p>
    <w:p>
      <w:r>
        <w:rPr>
          <w:b/>
          <w:sz w:val="19"/>
        </w:rPr>
        <w:t xml:space="preserve">Übertragbarkeit: </w:t>
      </w:r>
      <w:r>
        <w:rPr>
          <w:sz w:val="19"/>
        </w:rPr>
        <w:t>Leitfaden für LMIC-Kontexte; Übertragbarkeit auf deutsche Strukturen gering</w:t>
      </w:r>
    </w:p>
    <w:p>
      <w:r>
        <w:rPr>
          <w:color w:val="5A7D3A"/>
          <w:sz w:val="18"/>
        </w:rPr>
        <w:t>https://pubmed.ncbi.nlm.nih.gov/42755611/</w:t>
      </w:r>
    </w:p>
    <w:p>
      <w:pPr>
        <w:pStyle w:val="Heading2"/>
      </w:pPr>
      <w:r>
        <w:t>Strukturierter Patientensicherheitskurs erhöht Wissen und systemisches Denken bei ärztlichen Jungfachkräften um signifikante Anteile</w:t>
      </w:r>
    </w:p>
    <w:p>
      <w:r>
        <w:rPr>
          <w:i/>
          <w:color w:val="666666"/>
          <w:sz w:val="18"/>
        </w:rPr>
        <w:t>Qureshi MFH et al.  ·  BMC Med Educ  ·  22.07.2026  ·  PMID 42754882</w:t>
      </w:r>
    </w:p>
    <w:p>
      <w:r>
        <w:t>Quasiexperimentelle Studie untersucht Effektivität eines Qualitäts- und Patientensicherheitsmoduls bei 166 postgraduierten ärztlichen Interns an einem tertären Krankenhaus in Pakistan.</w:t>
      </w:r>
    </w:p>
    <w:p>
      <w:r>
        <w:rPr>
          <w:b/>
        </w:rPr>
        <w:t xml:space="preserve">Ergebnis: </w:t>
      </w:r>
      <w:r>
        <w:t>Signifikante Verbesserungen nach Intervention: Testwissensscores, systemisches Denken und Wissenswirksamkeit verbesserten sich über alle Kohorten (p &lt; 0,001). Verbesserungen besonders ausgeprägt bei Interns ohne vorherige Sicherheitsschulung. Qualitative Reflexionen zeigten verbesserte Zuversicht, Teamarbeit und systemorientierte Perspektiven. Strukturierte Kurse sind wirksam, auch ohne Vorkenntnisse.</w:t>
      </w:r>
    </w:p>
    <w:p>
      <w:r>
        <w:rPr>
          <w:b/>
          <w:sz w:val="19"/>
        </w:rPr>
        <w:t xml:space="preserve">Übertragbarkeit: </w:t>
      </w:r>
      <w:r>
        <w:rPr>
          <w:sz w:val="19"/>
        </w:rPr>
        <w:t>Pakistan (LMIC), Modell adaptierbar auf deutsche ärztliche Ausbildung</w:t>
      </w:r>
    </w:p>
    <w:p>
      <w:r>
        <w:rPr>
          <w:color w:val="5A7D3A"/>
          <w:sz w:val="18"/>
        </w:rPr>
        <w:t>https://pubmed.ncbi.nlm.nih.gov/42754882/</w:t>
      </w:r>
    </w:p>
    <w:p>
      <w:pPr>
        <w:pStyle w:val="Heading2"/>
      </w:pPr>
      <w:r>
        <w:t>Antibiofilm-beschichtete Verriegelungsnägel senken Fraktionsinfektion auf 5,8 % bei risikoreichen Knochenbrüchen</w:t>
      </w:r>
    </w:p>
    <w:p>
      <w:r>
        <w:rPr>
          <w:i/>
          <w:color w:val="666666"/>
          <w:sz w:val="18"/>
        </w:rPr>
        <w:t>Vicenti G et al.  ·  J Orthop Traumatol  ·  16.09.2026  ·  PMID 42752738</w:t>
      </w:r>
    </w:p>
    <w:p>
      <w:r>
        <w:t>Observationsstudie untersucht klinische Wirksamkeit einer antibakteriell beschichteten Verriegelungsnagel bei hochrisiko-tibialen und femoralen Frakturen an 103 Patienten.</w:t>
      </w:r>
    </w:p>
    <w:p>
      <w:r>
        <w:rPr>
          <w:b/>
        </w:rPr>
        <w:t xml:space="preserve">Ergebnis: </w:t>
      </w:r>
      <w:r>
        <w:t>Fraktionsinfektion trat in 5,8 % der Fälle auf (6/103 Patienten: 7,3 % tibial, 4,2 % femoral). Alle Infektionen wurden ohne Sepsis oder Amputation erfolgreich behandelt. Knochenbruchverkeilung in 94,5 % tibial und 95,8 % femoral erreicht. Die Beschichtung könnte ein vielversprechender Ansatz sein, erfordert aber prospektive kontrollierte Studien zur Bestätigung.</w:t>
      </w:r>
    </w:p>
    <w:p>
      <w:r>
        <w:rPr>
          <w:b/>
          <w:sz w:val="19"/>
        </w:rPr>
        <w:t xml:space="preserve">Übertragbarkeit: </w:t>
      </w:r>
      <w:r>
        <w:rPr>
          <w:sz w:val="19"/>
        </w:rPr>
        <w:t>Deutschland und deutschsprachiger Raum, vergleichbare Traumatologiestudards</w:t>
      </w:r>
    </w:p>
    <w:p>
      <w:r>
        <w:rPr>
          <w:color w:val="5A7D3A"/>
          <w:sz w:val="18"/>
        </w:rPr>
        <w:t>https://pubmed.ncbi.nlm.nih.gov/42752738/</w:t>
      </w:r>
    </w:p>
    <w:p>
      <w:pPr>
        <w:pStyle w:val="Heading2"/>
      </w:pPr>
      <w:r>
        <w:t>Deterministische und stochastische Interventionen bei Medikamenteninteraktionen: Systemische Grenzen und Hybrid-Ansätze nötig</w:t>
      </w:r>
    </w:p>
    <w:p>
      <w:r>
        <w:rPr>
          <w:i/>
          <w:color w:val="666666"/>
          <w:sz w:val="18"/>
        </w:rPr>
        <w:t>Ahmad Zuber MF et al.  ·  PLoS One  ·  17.09.2026  ·  PMID 42752658</w:t>
      </w:r>
    </w:p>
    <w:p>
      <w:r>
        <w:t>Systematische Übersichtsarbeit evaluiert computergestützte oder klinische Entscheidungsunterstützungs-Interventionen zur Reduktion von Arzneimittelwechselwirkungen oder unangemessener Verschreibung gemäß PRISMA 2020-Richtlinien.</w:t>
      </w:r>
    </w:p>
    <w:p>
      <w:r>
        <w:rPr>
          <w:b/>
        </w:rPr>
        <w:t xml:space="preserve">Ergebnis: </w:t>
      </w:r>
      <w:r>
        <w:t>Zehn Studien eingeschlossen. Frühe deterministische Systeme zeigten bescheidene Verbesserungen bei Verschreibungsprozessen, aber inkonsistente Links zu Patientenergebnissen. Neuere stochastische/generative Modelle berichten starke interne Performance-Metriken, aber hohes Bias-Risiko bei der Validierung, unzureichende externe Validierung, mangelnde Overfitting-Kontrolle. Deterministische Systeme bieten Transparenz, aber keine Anpassung an Patientenkontexte. Hybrid-Architekturen mit validierten stochastischen und erklärbar regelgestützten Komponenten sind erforderlich.</w:t>
      </w:r>
    </w:p>
    <w:p>
      <w:r>
        <w:rPr>
          <w:b/>
          <w:sz w:val="19"/>
        </w:rPr>
        <w:t xml:space="preserve">Übertragbarkeit: </w:t>
      </w:r>
      <w:r>
        <w:rPr>
          <w:sz w:val="19"/>
        </w:rPr>
        <w:t>Internationale Übersicht, Designprinzipien auf Deutschland anwendbar</w:t>
      </w:r>
    </w:p>
    <w:p>
      <w:r>
        <w:rPr>
          <w:color w:val="5A7D3A"/>
          <w:sz w:val="18"/>
        </w:rPr>
        <w:t>https://pubmed.ncbi.nlm.nih.gov/42752658/</w:t>
      </w:r>
    </w:p>
    <w:p>
      <w:pPr>
        <w:pStyle w:val="Heading2"/>
      </w:pPr>
      <w:r>
        <w:t>Intelligentes Katheter-Warnsystem reduziert ungeplante Extubation um 41 bis 48 Prozent</w:t>
      </w:r>
    </w:p>
    <w:p>
      <w:r>
        <w:rPr>
          <w:i/>
          <w:color w:val="666666"/>
          <w:sz w:val="18"/>
        </w:rPr>
        <w:t>Lu Y et al.  ·  Health Informatics J  ·  17.09.2026  ·  PMID 42752222</w:t>
      </w:r>
    </w:p>
    <w:p>
      <w:r>
        <w:t>Vorher-nachher-Studie in tertärem Krankenhaus evaluiert intelligentes Katheter-Risikowarn-System mit integrierter Pflege, Wartungsübersicht und QR-Patienten-Aufklärung bei 205 Pflegekräften und Patienten mit Katheter.</w:t>
      </w:r>
    </w:p>
    <w:p>
      <w:r>
        <w:rPr>
          <w:b/>
        </w:rPr>
        <w:t xml:space="preserve">Ergebnis: </w:t>
      </w:r>
      <w:r>
        <w:t>Ungeplante Nasenmagen-Schlauch-Entfernung sank von 0,852 ‰ auf 0,501 ‰ (-41 %). Ungeplante Blasenkatheter-Entfernung sank von 0,219 ‰ auf 0,114 ‰ (-48 %). PSSUQ-Scores und Pflegezufriedenheit verbesserten sich signifikant (p &lt; 0,001). Beschriftungsfehler reduzierten sich. System verbessert dokumentierbar Patientensicherheit bei Katheterpflege.</w:t>
      </w:r>
    </w:p>
    <w:p>
      <w:r>
        <w:rPr>
          <w:b/>
          <w:sz w:val="19"/>
        </w:rPr>
        <w:t xml:space="preserve">Übertragbarkeit: </w:t>
      </w:r>
      <w:r>
        <w:rPr>
          <w:sz w:val="19"/>
        </w:rPr>
        <w:t>China, technisches System; Prinzip auf deutsche Kliniken übertragbar</w:t>
      </w:r>
    </w:p>
    <w:p>
      <w:r>
        <w:rPr>
          <w:color w:val="5A7D3A"/>
          <w:sz w:val="18"/>
        </w:rPr>
        <w:t>https://pubmed.ncbi.nlm.nih.gov/42752222/</w:t>
      </w:r>
    </w:p>
    <w:p>
      <w:pPr>
        <w:pStyle w:val="Heading2"/>
      </w:pPr>
      <w:r>
        <w:t>Nosokomiale Infektionen nach Gesichtsverletzungen im Kriegseinsatz: 40,9 % Rate bei 2.631 ukrainischen Patienten</w:t>
      </w:r>
    </w:p>
    <w:p>
      <w:r>
        <w:rPr>
          <w:i/>
          <w:color w:val="666666"/>
          <w:sz w:val="18"/>
        </w:rPr>
        <w:t>Salmanov AG et al.  ·  Wiad Lek  ·  2026  ·  PMID 42748302</w:t>
      </w:r>
    </w:p>
    <w:p>
      <w:r>
        <w:t>Multizentrische prospektive Beobachtungsstudie untersucht nosokomiale Infektionen nach kiefer-oralchirurgischen Verfahren bei Patienten mit kampfbezogenen Kopf- und Halsverletzungen 2022–2025 in der Ukraine.</w:t>
      </w:r>
    </w:p>
    <w:p>
      <w:r>
        <w:rPr>
          <w:b/>
        </w:rPr>
        <w:t xml:space="preserve">Ergebnis: </w:t>
      </w:r>
      <w:r>
        <w:t>Unter 2.631 Patienten entwickelten 40,9 % (1.075) nosokomiale Infektionen. Häufigste Typ: chirurgische Infektionen 54 %, Knochen-Gelenk-Infektionen 14,2 %, Pneumonie 12,2 %, Harnwegsinfektionen 8,6 %, Sepsis 6,6 %. Risikofaktoren: Intensivaufenthalt, Intubation, Katheter. Hohes Infektionsaufkommen unter Bedingungen extremer Verletzungsschwere zeigt Grenzen der Infektionsprävention auf.</w:t>
      </w:r>
    </w:p>
    <w:p>
      <w:r>
        <w:rPr>
          <w:b/>
          <w:sz w:val="19"/>
        </w:rPr>
        <w:t xml:space="preserve">Übertragbarkeit: </w:t>
      </w:r>
      <w:r>
        <w:rPr>
          <w:sz w:val="19"/>
        </w:rPr>
        <w:t>Osteuropa unter Kriegsbedingungen, begrenzte Übertragbarkeit auf Standards</w:t>
      </w:r>
    </w:p>
    <w:p>
      <w:r>
        <w:rPr>
          <w:color w:val="5A7D3A"/>
          <w:sz w:val="18"/>
        </w:rPr>
        <w:t>https://pubmed.ncbi.nlm.nih.gov/42748302/</w:t>
      </w:r>
    </w:p>
    <w:p>
      <w:pPr>
        <w:pStyle w:val="Heading1"/>
      </w:pPr>
      <w:r>
        <w:t>Aufgenommen am 19.09.2026</w:t>
      </w:r>
    </w:p>
    <w:p>
      <w:pPr>
        <w:pStyle w:val="Heading2"/>
      </w:pPr>
      <w:r>
        <w:t>ADRe-Profil senkte Medikationsprobleme bei älteren Patienten um 82%</w:t>
      </w:r>
    </w:p>
    <w:p>
      <w:r>
        <w:rPr>
          <w:i/>
          <w:color w:val="666666"/>
          <w:sz w:val="18"/>
        </w:rPr>
        <w:t>Logan V et al.  ·  PLoS One  ·  18.09.2026  ·  PMID 42758689</w:t>
      </w:r>
    </w:p>
    <w:p>
      <w:r>
        <w:t>Cluster-randomisierte Studie zur Frage, ob ein Adverse Drug Reaction Profile bei Patienten ≥65 Jahren mit über 4 Dauermedikationen in der Hausarztpraxis unerwünschte Arzneimittelwirkungen und Polypharmzie-Probleme reduziert.</w:t>
      </w:r>
    </w:p>
    <w:p>
      <w:r>
        <w:rPr>
          <w:b/>
        </w:rPr>
        <w:t xml:space="preserve">Ergebnis: </w:t>
      </w:r>
      <w:r>
        <w:t>82% der Interventionsgruppe (22/27 Patienten) hatten mindestens ein bearbeitetes Problem vs. 35% der Kontrollgruppe (11/30), adjustierte Odds Ratio 7,48 (95%-KI 1,99–28,10). B12-Mangel und Flecainide-Demedikation wurden kritisch erkannt; weniger Schmerzberichte in der Interventionsgruppe.</w:t>
      </w:r>
    </w:p>
    <w:p>
      <w:r>
        <w:rPr>
          <w:b/>
          <w:sz w:val="19"/>
        </w:rPr>
        <w:t xml:space="preserve">Übertragbarkeit: </w:t>
      </w:r>
      <w:r>
        <w:rPr>
          <w:sz w:val="19"/>
        </w:rPr>
        <w:t>Großbritannien/Wales, vergleichbare primärärztliche Dokumentation und Polypharmzie-Problematik</w:t>
      </w:r>
    </w:p>
    <w:p>
      <w:r>
        <w:rPr>
          <w:color w:val="5A7D3A"/>
          <w:sz w:val="18"/>
        </w:rPr>
        <w:t>https://pubmed.ncbi.nlm.nih.gov/42758689/</w:t>
      </w:r>
    </w:p>
    <w:p>
      <w:pPr>
        <w:pStyle w:val="Heading2"/>
      </w:pPr>
      <w:r>
        <w:t>Sieben unabhängige Risikofaktoren für Druckgeschwüre nach Hüftfrakturchirurgie</w:t>
      </w:r>
    </w:p>
    <w:p>
      <w:r>
        <w:rPr>
          <w:i/>
          <w:color w:val="666666"/>
          <w:sz w:val="18"/>
        </w:rPr>
        <w:t>Zhao Y et al.  ·  J Wound Ostomy Continence Nurs  ·  Sept. 2026  ·  PMID 42758160</w:t>
      </w:r>
    </w:p>
    <w:p>
      <w:r>
        <w:t>US-amerikanische Beobachtungsstudie mit 14.523 Hüftfrakturpatienten (2019) aus der NSQIP-Datenbank zur Identifizierung unabhängiger Risikofaktoren für nosokomiale Druckgeschwüre nach operativer Versorgung.</w:t>
      </w:r>
    </w:p>
    <w:p>
      <w:r>
        <w:rPr>
          <w:b/>
        </w:rPr>
        <w:t xml:space="preserve">Ergebnis: </w:t>
      </w:r>
      <w:r>
        <w:t>4,3% entwickelten mindestens ein Druckgeschwür (628/14.523). Unabhängige Risikofaktoren: Alter &gt;70 Jahre (OR 1,488), BMI &lt;18,5 kg/m² (OR 1,347), Gewichtsverlust &gt;10% in 6 Monaten (OR 2,775), Mobilitätshilfe präoperativ (OR 1,833), Insulinabhängigkeit (OR 1,753), BUN &gt;24 mg/dL (OR 1,634), Aufnahme-zu-OP-Intervall &gt;1 Tag (OR 1,400).</w:t>
      </w:r>
    </w:p>
    <w:p>
      <w:r>
        <w:rPr>
          <w:b/>
          <w:sz w:val="19"/>
        </w:rPr>
        <w:t xml:space="preserve">Übertragbarkeit: </w:t>
      </w:r>
      <w:r>
        <w:rPr>
          <w:sz w:val="19"/>
        </w:rPr>
        <w:t>USA, aber Risikofaktor-Profil und NSQIP-Methodik in deutschen Kliniken anwendbar</w:t>
      </w:r>
    </w:p>
    <w:p>
      <w:r>
        <w:rPr>
          <w:color w:val="5A7D3A"/>
          <w:sz w:val="18"/>
        </w:rPr>
        <w:t>https://pubmed.ncbi.nlm.nih.gov/42758160/</w:t>
      </w:r>
    </w:p>
    <w:p>
      <w:pPr>
        <w:pStyle w:val="Heading2"/>
      </w:pPr>
      <w:r>
        <w:t>Tuberkulose-Infektionskontroll-Plan: 70% Compliance aber massive Governance-Lücken</w:t>
      </w:r>
    </w:p>
    <w:p>
      <w:r>
        <w:rPr>
          <w:i/>
          <w:color w:val="666666"/>
          <w:sz w:val="18"/>
        </w:rPr>
        <w:t>Espinosa M et al.  ·  Biomedica  ·  20.08.2026  ·  PMID 42757801</w:t>
      </w:r>
    </w:p>
    <w:p>
      <w:r>
        <w:t>Evaluative Studie mit Mixed-Methods in Cali, Kolumbien zur Bewertung der institutionellen Kapazitäten eines seit 2016 implementierten Tuberkulose-Infektionskontroll-Plans in Gesundheitseinrichtungen mit TB-Programmen.</w:t>
      </w:r>
    </w:p>
    <w:p>
      <w:r>
        <w:rPr>
          <w:b/>
        </w:rPr>
        <w:t xml:space="preserve">Ergebnis: </w:t>
      </w:r>
      <w:r>
        <w:t>Durchschnittliches Compliance: 70,8% administrative Maßnahmen, 62,1% Umweltkon trolle, 90,5% Atemschutz. Mängel: fehlender nationaler Rahmen, hohe Personalfluktuation, unzureichende Schulung, Investitionslücken, mangelnde Überwachung arbeitsbezogener TB. Stärken: Erfassung symptomatischer Atemwegspatienten, Verfügbarkeit von Schutzausrüstung.</w:t>
      </w:r>
    </w:p>
    <w:p>
      <w:r>
        <w:rPr>
          <w:b/>
          <w:sz w:val="19"/>
        </w:rPr>
        <w:t xml:space="preserve">Übertragbarkeit: </w:t>
      </w:r>
      <w:r>
        <w:rPr>
          <w:sz w:val="19"/>
        </w:rPr>
        <w:t>Kolumbien, aber Struktur-Gap-Analyse für Infektionskontroll-Programme übertragbar auf Schwellenländer</w:t>
      </w:r>
    </w:p>
    <w:p>
      <w:r>
        <w:rPr>
          <w:color w:val="5A7D3A"/>
          <w:sz w:val="18"/>
        </w:rPr>
        <w:t>https://pubmed.ncbi.nlm.nih.gov/42757801/</w:t>
      </w:r>
    </w:p>
    <w:p>
      <w:pPr>
        <w:pStyle w:val="Heading2"/>
      </w:pPr>
      <w:r>
        <w:t>Stromausfälle durch Treibstoffmangel: Kaskadierende Patientensicherheits-Ausfälle in Konflikt-Szenarios</w:t>
      </w:r>
    </w:p>
    <w:p>
      <w:r>
        <w:rPr>
          <w:i/>
          <w:color w:val="666666"/>
          <w:sz w:val="18"/>
        </w:rPr>
        <w:t>Warrier AR et al.  ·  BMJ Open Qual  ·  17.09.2026  ·  PMID 42754290</w:t>
      </w:r>
    </w:p>
    <w:p>
      <w:r>
        <w:t>Proaktive Fehlermodalitäts- und Effektanalyse (FMEA) an 455-Bett-Klinik Südindien zur Modellierung von Patientensicherheitsrisiken bei akutem Treibstoff-/Flüssiggasausfall in geopolitischem Konflikt-Szenario.</w:t>
      </w:r>
    </w:p>
    <w:p>
      <w:r>
        <w:rPr>
          <w:b/>
        </w:rPr>
        <w:t xml:space="preserve">Ergebnis: </w:t>
      </w:r>
      <w:r>
        <w:t>62 Fehlerszenarien: 5 kritisch (RPNs ≥200), 17 hoch (150–199), 34 mittel (100–149), 6 niedrig (&lt;100). Generator/Stromversorgung Mittelwert RPN 171,0 = Systemamplifikator. Wäscherei (OP/ICU-Wäsche-Sterilisation): höchstes Einzelrisiko RPN 240. Küche LPG-abhängig: durchschnittlich 163,4.</w:t>
      </w:r>
    </w:p>
    <w:p>
      <w:r>
        <w:rPr>
          <w:b/>
          <w:sz w:val="19"/>
        </w:rPr>
        <w:t xml:space="preserve">Übertragbarkeit: </w:t>
      </w:r>
      <w:r>
        <w:rPr>
          <w:sz w:val="19"/>
        </w:rPr>
        <w:t>Indien, aber Kaskadenanalyse und Ausfallmuster sind für deutsche Krankenhäuser in Krisenszenarios anwendbar</w:t>
      </w:r>
    </w:p>
    <w:p>
      <w:r>
        <w:rPr>
          <w:color w:val="5A7D3A"/>
          <w:sz w:val="18"/>
        </w:rPr>
        <w:t>https://pubmed.ncbi.nlm.nih.gov/42754290/</w:t>
      </w:r>
    </w:p>
    <w:p>
      <w:pPr>
        <w:pStyle w:val="Heading2"/>
      </w:pPr>
      <w:r>
        <w:t>Mangelhaft vermitteltes Management-Support gefährdet psychologische Genesung nach Arbeitsverletzung</w:t>
      </w:r>
    </w:p>
    <w:p>
      <w:r>
        <w:rPr>
          <w:i/>
          <w:color w:val="666666"/>
          <w:sz w:val="18"/>
        </w:rPr>
        <w:t>Dawson A et al.  ·  J Safety Res  ·  26.05.2026  ·  PMID 42744463</w:t>
      </w:r>
    </w:p>
    <w:p>
      <w:r>
        <w:t>Zwei britische Querschnittsstudien mit Eisenbahnwerkstatt-Mitarbeitern (N₁=264, N₂=117), ob organisationale Sicherheitsunterstützung durch Vorgesetzte die psychische Belastung und emotionales Wohlbefinden nach beruflicher Verletzung moderiert.</w:t>
      </w:r>
    </w:p>
    <w:p>
      <w:r>
        <w:rPr>
          <w:b/>
        </w:rPr>
        <w:t xml:space="preserve">Ergebnis: </w:t>
      </w:r>
      <w:r>
        <w:t>Support von direkten Vorgesetzten und Kollegen moderierte nicht. Support des Top-Managements zeigte bei häufigeren Verletzungen kontraintuitiv: höhere wahrgenommene Unterstützung war mit niedrigerem positiven Affekt assoziiert – Effekt der Glaubwürdigkeitslücke zwischen symbolischer und gelebter Praxis.</w:t>
      </w:r>
    </w:p>
    <w:p>
      <w:r>
        <w:rPr>
          <w:b/>
          <w:sz w:val="19"/>
        </w:rPr>
        <w:t xml:space="preserve">Übertragbarkeit: </w:t>
      </w:r>
      <w:r>
        <w:rPr>
          <w:sz w:val="19"/>
        </w:rPr>
        <w:t>Großbritannien, Eisenbahn-Sicherheitskultur, aber Befund zu Vertrauensdefiziten ist systemübergreifend</w:t>
      </w:r>
    </w:p>
    <w:p>
      <w:r>
        <w:rPr>
          <w:color w:val="5A7D3A"/>
          <w:sz w:val="18"/>
        </w:rPr>
        <w:t>https://pubmed.ncbi.nlm.nih.gov/42744463/</w:t>
      </w:r>
    </w:p>
    <w:p>
      <w:pPr>
        <w:pStyle w:val="Heading2"/>
      </w:pPr>
      <w:r>
        <w:t>Verzögerte Entlassungsberichte zeigten keinen Sicherheitseffekt nach Pneumonie-Hospitalisierung</w:t>
      </w:r>
    </w:p>
    <w:p>
      <w:r>
        <w:rPr>
          <w:i/>
          <w:color w:val="666666"/>
          <w:sz w:val="18"/>
        </w:rPr>
        <w:t>Danjou A et al.  ·  Int J Qual Health Care  ·  08.07.2026  ·  PMID 42623130</w:t>
      </w:r>
    </w:p>
    <w:p>
      <w:r>
        <w:t>Französische Kohortenstudie zu 1004 Patienten nach Hospitalisierung wegen ambulant erworbener Lungenentzündung, ob das Fehlen einer am Entlasstag erstellten Entlassdokumentation die 30-Tage-Mortalität und Wiederaufnahmen erhöht.</w:t>
      </w:r>
    </w:p>
    <w:p>
      <w:r>
        <w:rPr>
          <w:b/>
        </w:rPr>
        <w:t xml:space="preserve">Ergebnis: </w:t>
      </w:r>
      <w:r>
        <w:t>Entlassdokumentation lag bei 30% am Entlasstag vor (305/1004). Nach Propensity-Score-Gewichtung: unerwünschte Ereignisse 12% vs. 14% (OR 1,12; 95%-KI 0,72–1,75), Wiederaufnahmen 9,6% vs. 10% (OR 1,09; 95%-KI 0,65–1,84), Mortalität 6,9% vs. 4,3% (OR 0,61; 95%-KI 0,31–1,21) – kein signifikanter Unterschied.</w:t>
      </w:r>
    </w:p>
    <w:p>
      <w:r>
        <w:rPr>
          <w:b/>
          <w:sz w:val="19"/>
        </w:rPr>
        <w:t xml:space="preserve">Übertragbarkeit: </w:t>
      </w:r>
      <w:r>
        <w:rPr>
          <w:sz w:val="19"/>
        </w:rPr>
        <w:t>Frankreich, nationales Gesundheitsdatensystem, ähnliche Entlassdokumentationspflichten</w:t>
      </w:r>
    </w:p>
    <w:p>
      <w:r>
        <w:rPr>
          <w:color w:val="5A7D3A"/>
          <w:sz w:val="18"/>
        </w:rPr>
        <w:t>https://pubmed.ncbi.nlm.nih.gov/42623130/</w:t>
      </w:r>
    </w:p>
    <w:p>
      <w:pPr>
        <w:pStyle w:val="Heading1"/>
      </w:pPr>
      <w:r>
        <w:t>Aufgenommen am 18.09.2026</w:t>
      </w:r>
    </w:p>
    <w:p>
      <w:pPr>
        <w:pStyle w:val="Heading2"/>
      </w:pPr>
      <w:r>
        <w:t>MedDRA-Standardisierung halbierte Sicherheitsmeldelücken in Operationsstudien</w:t>
      </w:r>
    </w:p>
    <w:p>
      <w:r>
        <w:rPr>
          <w:i/>
          <w:color w:val="666666"/>
          <w:sz w:val="18"/>
        </w:rPr>
        <w:t>Camasso NC et al.  ·  BMJ Open  ·  17.09.2026  ·  PMID 42754271</w:t>
      </w:r>
    </w:p>
    <w:p>
      <w:r>
        <w:t>Querschnittsanalyse untersuchte, ob standardisierte Nomenklatur (MedDRA) für Nebenwirkungen die Qualität der Sicherheitsberichterstattung in chirurgischen Randomisierungsstudien verbessert.</w:t>
      </w:r>
    </w:p>
    <w:p>
      <w:r>
        <w:rPr>
          <w:b/>
        </w:rPr>
        <w:t xml:space="preserve">Ergebnis: </w:t>
      </w:r>
      <w:r>
        <w:t>Nur 18,8% der 116 Studien nutzten MedDRA. Mit MedDRA: vollständigere Berichte (p&lt;0,001), Concordance Registry-Publication 60% vs. 82% Diskrepanz, Mortalitätsmeldungen 60% vs. 82% Diskordanz. Industriefinanzierung und US-Beteiligung erhöhten MedDRA-Adoption um Faktor 29 bzw. 4,6.</w:t>
      </w:r>
    </w:p>
    <w:p>
      <w:r>
        <w:rPr>
          <w:b/>
          <w:sz w:val="19"/>
        </w:rPr>
        <w:t xml:space="preserve">Übertragbarkeit: </w:t>
      </w:r>
      <w:r>
        <w:rPr>
          <w:sz w:val="19"/>
        </w:rPr>
        <w:t>Universelles Problem Chirurgieforschung, MedDRA auch in deutschsprachigen Kliniken einsetzbar.</w:t>
      </w:r>
    </w:p>
    <w:p>
      <w:r>
        <w:rPr>
          <w:color w:val="5A7D3A"/>
          <w:sz w:val="18"/>
        </w:rPr>
        <w:t>https://pubmed.ncbi.nlm.nih.gov/42754271/</w:t>
      </w:r>
    </w:p>
    <w:p>
      <w:pPr>
        <w:pStyle w:val="Heading2"/>
      </w:pPr>
      <w:r>
        <w:t>Pflegeleiter-Bundle senkte Pneumonierisiko bei septischen Bauchpatienten um 40 Prozent</w:t>
      </w:r>
    </w:p>
    <w:p>
      <w:r>
        <w:rPr>
          <w:i/>
          <w:color w:val="666666"/>
          <w:sz w:val="18"/>
        </w:rPr>
        <w:t>Xu Y et al.  ·  Crit Care  ·  14.09.2026  ·  PMID 42750044</w:t>
      </w:r>
    </w:p>
    <w:p>
      <w:r>
        <w:t>Studie untersuchte, ob ein Pflege-Behandlungsbündel für Atemwegsmanagement die Pneumonierate bei kritisch kranken Patienten mit Abdominalempyem senkt.</w:t>
      </w:r>
    </w:p>
    <w:p>
      <w:r>
        <w:rPr>
          <w:b/>
        </w:rPr>
        <w:t xml:space="preserve">Ergebnis: </w:t>
      </w:r>
      <w:r>
        <w:t>Das Bundle reduzierte Pneumonieinzidenz von 42,2% auf 25,6% (OR 0,39; 95%-KI 0,28–0,54; p&lt;0,001), Krankenhausaufenthalt um 20% und 28-Tage-Mortalität von 22,8% auf 18,3%. Fünf Sensitivitätsanalysen bestätigten Robustheit ohne Heterogenität zwischen Zentren.</w:t>
      </w:r>
    </w:p>
    <w:p>
      <w:r>
        <w:rPr>
          <w:b/>
          <w:sz w:val="19"/>
        </w:rPr>
        <w:t xml:space="preserve">Übertragbarkeit: </w:t>
      </w:r>
      <w:r>
        <w:rPr>
          <w:sz w:val="19"/>
        </w:rPr>
        <w:t>China, aber strukturierte Bundle-Ansätze auf Intensivstationen sind international etabliert.</w:t>
      </w:r>
    </w:p>
    <w:p>
      <w:r>
        <w:rPr>
          <w:color w:val="5A7D3A"/>
          <w:sz w:val="18"/>
        </w:rPr>
        <w:t>https://pubmed.ncbi.nlm.nih.gov/42750044/</w:t>
      </w:r>
    </w:p>
    <w:p>
      <w:pPr>
        <w:pStyle w:val="Heading2"/>
      </w:pPr>
      <w:r>
        <w:t>Pathogen-PCR-Diagnostik senkte unnötige Antibiotika und verbesserte Sepsis-Überleben</w:t>
      </w:r>
    </w:p>
    <w:p>
      <w:r>
        <w:rPr>
          <w:i/>
          <w:color w:val="666666"/>
          <w:sz w:val="18"/>
        </w:rPr>
        <w:t>Zhang H et al.  ·  Nat Commun  ·  20.08.2026  ·  PMID 42749736</w:t>
      </w:r>
    </w:p>
    <w:p>
      <w:r>
        <w:t>Randomisierte Studie testete, ob digitale PCR-Diagnostik die Antibiotikaanpassung bei Sepsis-Verdacht steuert und Sterblichkeit senkt.</w:t>
      </w:r>
    </w:p>
    <w:p>
      <w:r>
        <w:rPr>
          <w:b/>
        </w:rPr>
        <w:t xml:space="preserve">Ergebnis: </w:t>
      </w:r>
      <w:r>
        <w:t>ddPCR erhöhte korrekte Antibiotikaabdeckung von 6,1% auf 12,91% (p=0,0039), Tagesmelder schneller. Pathogenenlast &gt;3051 Kopien/ml (Tag 0), &gt;404 (Tag 3), &gt;1348 (Tag 7) vorhersagend für 28-Tage-Mortalität. Frühe genauigkeitsbasierte Therapieanpassung verbesserte Überleben signifikant.</w:t>
      </w:r>
    </w:p>
    <w:p>
      <w:r>
        <w:rPr>
          <w:b/>
          <w:sz w:val="19"/>
        </w:rPr>
        <w:t xml:space="preserve">Übertragbarkeit: </w:t>
      </w:r>
      <w:r>
        <w:rPr>
          <w:sz w:val="19"/>
        </w:rPr>
        <w:t>China-Daten, aber Diagnostik-Prinzip auf Sepsis-Erkennung universell übertragbar.</w:t>
      </w:r>
    </w:p>
    <w:p>
      <w:r>
        <w:rPr>
          <w:color w:val="5A7D3A"/>
          <w:sz w:val="18"/>
        </w:rPr>
        <w:t>https://pubmed.ncbi.nlm.nih.gov/42749736/</w:t>
      </w:r>
    </w:p>
    <w:p>
      <w:pPr>
        <w:pStyle w:val="Heading2"/>
      </w:pPr>
      <w:r>
        <w:t>Sicherheitsclutter-Taxonomie identifiziert verschleuerte Prozesse, die Schaden nicht mindern</w:t>
      </w:r>
    </w:p>
    <w:p>
      <w:r>
        <w:rPr>
          <w:i/>
          <w:color w:val="666666"/>
          <w:sz w:val="18"/>
        </w:rPr>
        <w:t>Raheemy Y et al.  ·  J Safety Res  ·  15.06.2026  ·  PMID 42744505</w:t>
      </w:r>
    </w:p>
    <w:p>
      <w:r>
        <w:t>Qualitative Studie mit Expertenfokusgruppen und 11 Jobsite-Ethnografien (Bauwesen) entwickelt eine Diagnose-Klassifikation für Sicherheitsmaßnahmen, die Zeit verschwenden.</w:t>
      </w:r>
    </w:p>
    <w:p>
      <w:r>
        <w:rPr>
          <w:b/>
        </w:rPr>
        <w:t xml:space="preserve">Ergebnis: </w:t>
      </w:r>
      <w:r>
        <w:t>Sicherheitsclutter definiert als Aufwand, der ohne Sicherheitsgewinn Ressourcen bindet: bedingte Clutter (exzessiv, irrelevant, unerreichbar) und reine Clutter (ungültig). 11 Clutter-Typen mit Erkennungszeichen und Fallbeispielen benannt, Triangulation Fokusgruppe-Ethnografie validiert Kategoriengrenzen.</w:t>
      </w:r>
    </w:p>
    <w:p>
      <w:r>
        <w:rPr>
          <w:b/>
          <w:sz w:val="19"/>
        </w:rPr>
        <w:t xml:space="preserve">Übertragbarkeit: </w:t>
      </w:r>
      <w:r>
        <w:rPr>
          <w:sz w:val="19"/>
        </w:rPr>
        <w:t>Bauwesen primär, Konzept auf Krankenhausprozesse (Fehlermeldesysteme, Dokumentation) übertragbar.</w:t>
      </w:r>
    </w:p>
    <w:p>
      <w:r>
        <w:rPr>
          <w:color w:val="5A7D3A"/>
          <w:sz w:val="18"/>
        </w:rPr>
        <w:t>https://pubmed.ncbi.nlm.nih.gov/42744505/</w:t>
      </w:r>
    </w:p>
    <w:p>
      <w:pPr>
        <w:pStyle w:val="Heading2"/>
      </w:pPr>
      <w:r>
        <w:t>Digitalisierung steigert Arbeitsschutzegoismus, wenn Mitsprache fehlt – Spanien und Dänemark</w:t>
      </w:r>
    </w:p>
    <w:p>
      <w:r>
        <w:rPr>
          <w:i/>
          <w:color w:val="666666"/>
          <w:sz w:val="18"/>
        </w:rPr>
        <w:t>Foncubierta-Rodríguez MJ  ·  J Safety Res  ·  17.08.2026  ·  PMID 42744499</w:t>
      </w:r>
    </w:p>
    <w:p>
      <w:r>
        <w:t>Querschnittswiederholung (ESENER 2019/2024) testet, ob Digitalisierung universell zum Reaktions- statt Präventivsicherheit führt und wie Mitarbeitermitsprache puffert.</w:t>
      </w:r>
    </w:p>
    <w:p>
      <w:r>
        <w:rPr>
          <w:b/>
        </w:rPr>
        <w:t xml:space="preserve">Ergebnis: </w:t>
      </w:r>
      <w:r>
        <w:t>Digitalisierung triggert überall Organisationsreaktivität; Arbeitermitsprache war 2019 inaktiv (nonsignifikant), 2024 aktiver Schutzfaktor gegen Reaktivität (β=0,547; p&lt;0,001). Traditionelle Industrie 2024 deutlich schlechter in Sicherheitsmanagement als Dienstleistung. Strukturelle Schichtung nach Sektor neu in post-pandemischer Ära.</w:t>
      </w:r>
    </w:p>
    <w:p>
      <w:r>
        <w:rPr>
          <w:b/>
          <w:sz w:val="19"/>
        </w:rPr>
        <w:t xml:space="preserve">Übertragbarkeit: </w:t>
      </w:r>
      <w:r>
        <w:rPr>
          <w:sz w:val="19"/>
        </w:rPr>
        <w:t>Spanien/Dänemark-Daten, EU-Risikomanagement-Rahmen, aber Befund zur Digitalisierungs-Reaktivität systemunabhängig.</w:t>
      </w:r>
    </w:p>
    <w:p>
      <w:r>
        <w:rPr>
          <w:color w:val="5A7D3A"/>
          <w:sz w:val="18"/>
        </w:rPr>
        <w:t>https://pubmed.ncbi.nlm.nih.gov/42744499/</w:t>
      </w:r>
    </w:p>
    <w:p>
      <w:pPr>
        <w:pStyle w:val="Heading2"/>
      </w:pPr>
      <w:r>
        <w:t>Multipack-Implantate kürzten OP-Zeit und Verpackungsabfall in Wirbelsäulenchirurgie</w:t>
      </w:r>
    </w:p>
    <w:p>
      <w:r>
        <w:rPr>
          <w:i/>
          <w:color w:val="666666"/>
          <w:sz w:val="18"/>
        </w:rPr>
        <w:t>Bludau F et al.  ·  Medicina (Kaunas)  ·  26.06.2026  ·  PMID 42512785</w:t>
      </w:r>
    </w:p>
    <w:p>
      <w:r>
        <w:t>HTA-Vergleichsstudie mit Messungen während acht Fusionen bewertete Einzelimplantat- gegen Multipack-Versorgung auf Workflow, Materialverbrauch und CO2-Bilanz.</w:t>
      </w:r>
    </w:p>
    <w:p>
      <w:r>
        <w:rPr>
          <w:b/>
        </w:rPr>
        <w:t xml:space="preserve">Ergebnis: </w:t>
      </w:r>
      <w:r>
        <w:t>Multipack senkte Griffzeit um 58% (25,4 s vs. 58,7 s; p=0,004), Steriltransferaufwand um Faktor 4,76, Verpackungsvolumen um Faktor 5,6, CO2-Äquivalent 0,017 kg vs. 0,026 kg. Personalzufriedenheit 73% positiv; Nachteil: möglicher Materialabfall ungenutzter Implantate.</w:t>
      </w:r>
    </w:p>
    <w:p>
      <w:r>
        <w:rPr>
          <w:b/>
          <w:sz w:val="19"/>
        </w:rPr>
        <w:t xml:space="preserve">Übertragbarkeit: </w:t>
      </w:r>
      <w:r>
        <w:rPr>
          <w:sz w:val="19"/>
        </w:rPr>
        <w:t>Deutschland: Universitätsklinikum Mannheim, vergleichbare Operationsumgebung und Dokumentationspflichten.</w:t>
      </w:r>
    </w:p>
    <w:p>
      <w:r>
        <w:rPr>
          <w:color w:val="5A7D3A"/>
          <w:sz w:val="18"/>
        </w:rPr>
        <w:t>https://pubmed.ncbi.nlm.nih.gov/42512785/</w:t>
      </w:r>
    </w:p>
    <w:p>
      <w:pPr>
        <w:pStyle w:val="Heading1"/>
      </w:pPr>
      <w:r>
        <w:t>Aufgenommen am 17.09.2026</w:t>
      </w:r>
    </w:p>
    <w:p>
      <w:pPr>
        <w:pStyle w:val="Heading2"/>
      </w:pPr>
      <w:r>
        <w:t>Nachhaltige Schutzausrüstung reduziert Carbon-Footprint ohne Infektionsrisiko</w:t>
      </w:r>
    </w:p>
    <w:p>
      <w:r>
        <w:rPr>
          <w:i/>
          <w:color w:val="666666"/>
          <w:sz w:val="18"/>
        </w:rPr>
        <w:t>Slyne H  ·  Br J Nurs  ·  17.09.2026  ·  PMID 42748025</w:t>
      </w:r>
    </w:p>
    <w:p>
      <w:r>
        <w:t>Übersichtsarbeit der Infection Prevention and Control Abteilung eines britischen Universitätskrankenhauses zu erfolgreichen Implementierungen nachhaltiger Persönlicher Schutzausrüstung (Handschuhe, Schürzen, Isolation Gowns, Masken).</w:t>
      </w:r>
    </w:p>
    <w:p>
      <w:r>
        <w:rPr>
          <w:b/>
        </w:rPr>
        <w:t xml:space="preserve">Ergebnis: </w:t>
      </w:r>
      <w:r>
        <w:t>Studienübersicht zeigt Kosteneinsparungen, CO₂-Reduktionen und verbesserte Mitarbeiter-Zufriedenheit sowie Hautgesundheit ohne nachteilige Auswirkungen auf nosokomiale Infektionen. Handschuh-Übernutzung identifiziert als größter Carbon-Hotspot im Gesundheitswesen.</w:t>
      </w:r>
    </w:p>
    <w:p>
      <w:r>
        <w:rPr>
          <w:b/>
          <w:sz w:val="19"/>
        </w:rPr>
        <w:t xml:space="preserve">Übertragbarkeit: </w:t>
      </w:r>
      <w:r>
        <w:rPr>
          <w:sz w:val="19"/>
        </w:rPr>
        <w:t>Vereinigtes Königreich, vergleichbare PPE-Standards und Dokumentationspflichten</w:t>
      </w:r>
    </w:p>
    <w:p>
      <w:r>
        <w:rPr>
          <w:color w:val="5A7D3A"/>
          <w:sz w:val="18"/>
        </w:rPr>
        <w:t>https://pubmed.ncbi.nlm.nih.gov/42748025/</w:t>
      </w:r>
    </w:p>
    <w:p>
      <w:pPr>
        <w:pStyle w:val="Heading2"/>
      </w:pPr>
      <w:r>
        <w:t>Perioperative Hypersensibilität im Kindesalter: Qualitative Analyse französischer Allergie-Kohorten</w:t>
      </w:r>
    </w:p>
    <w:p>
      <w:r>
        <w:rPr>
          <w:i/>
          <w:color w:val="666666"/>
          <w:sz w:val="18"/>
        </w:rPr>
        <w:t>Michel MP et al.  ·  Pediatr Allergy Immunol  ·  Sept. 2026  ·  PMID 42747994</w:t>
      </w:r>
    </w:p>
    <w:p>
      <w:r>
        <w:t>Analyse von 4.605 perioperativen Hypersensibilitätsreaktionen (461 Fälle bei Kindern &lt;18 Jahren) aus französischem GERAP-Netzwerk über drei Dekaden (1997–2024) mit Allergen-Identifikation und Schweregraduierung.</w:t>
      </w:r>
    </w:p>
    <w:p>
      <w:r>
        <w:rPr>
          <w:b/>
        </w:rPr>
        <w:t xml:space="preserve">Ergebnis: </w:t>
      </w:r>
      <w:r>
        <w:t>Kausales Allergen in 43% der Fälle identifiziert (Neuromuscular-Blocking-Agents 31%, Latex 30%, Antibiotika 16%). Reaktionen mit Allergen-ID waren signifikant schwerer (Grad 3–4: 46% vs. 13%; p &lt; 0,001) mit höherer Tryptase (Median 16,0 vs. 4,0 μg/L; p &lt; 0,001). Latex-Reaktionen verschwanden nach 2017.</w:t>
      </w:r>
    </w:p>
    <w:p>
      <w:r>
        <w:rPr>
          <w:b/>
          <w:sz w:val="19"/>
        </w:rPr>
        <w:t xml:space="preserve">Übertragbarkeit: </w:t>
      </w:r>
      <w:r>
        <w:rPr>
          <w:sz w:val="19"/>
        </w:rPr>
        <w:t>Frankreich, hochgradig vergleichbar; europäischer Standard für Allergie-Registrierung und Perioperativ-Management</w:t>
      </w:r>
    </w:p>
    <w:p>
      <w:r>
        <w:rPr>
          <w:color w:val="5A7D3A"/>
          <w:sz w:val="18"/>
        </w:rPr>
        <w:t>https://pubmed.ncbi.nlm.nih.gov/42747994/</w:t>
      </w:r>
    </w:p>
    <w:p>
      <w:pPr>
        <w:pStyle w:val="Heading2"/>
      </w:pPr>
      <w:r>
        <w:t>Cefazolin mindestens gleichwertig zu Flucloxacillin bei Staphylococcus-aureus-Bakteriämie</w:t>
      </w:r>
    </w:p>
    <w:p>
      <w:r>
        <w:rPr>
          <w:i/>
          <w:color w:val="666666"/>
          <w:sz w:val="18"/>
        </w:rPr>
        <w:t>Jager NGL et al.  ·  Ned Tijdschr Geneeskd  ·  16.09.2026  ·  PMID 42747445</w:t>
      </w:r>
    </w:p>
    <w:p>
      <w:r>
        <w:t>Die internationale adaptive Plattformstudie SNAP verglich Cefazolin mit (Flu-)Cloxacillin bei Erwachsenen mit Methicillin-empfindlicher S.-aureus-Bakteriämie.</w:t>
      </w:r>
    </w:p>
    <w:p>
      <w:r>
        <w:rPr>
          <w:b/>
        </w:rPr>
        <w:t xml:space="preserve">Ergebnis: </w:t>
      </w:r>
      <w:r>
        <w:t>90-Tage-Mortalität 15,0% mit Cefazolin versus 17,0% mit (Flu-)Cloxacillin (aOR 0,81; 95%-KrI 0,59–1,12; Nicht-Unterlegenheitswahrscheinlichkeit 99,2%). Akutes Nierenschädigungsrisiko war bei Cefazolin signifikant niedriger (13,9% vs. 19,6%; aOR 0,67; 95%-KrI 0,50–0,89).</w:t>
      </w:r>
    </w:p>
    <w:p>
      <w:r>
        <w:rPr>
          <w:b/>
          <w:sz w:val="19"/>
        </w:rPr>
        <w:t xml:space="preserve">Übertragbarkeit: </w:t>
      </w:r>
      <w:r>
        <w:rPr>
          <w:sz w:val="19"/>
        </w:rPr>
        <w:t>Niederlande, vergleichbares Sozialversicherungssystem und ärztliches Handeln</w:t>
      </w:r>
    </w:p>
    <w:p>
      <w:r>
        <w:rPr>
          <w:color w:val="5A7D3A"/>
          <w:sz w:val="18"/>
        </w:rPr>
        <w:t>https://pubmed.ncbi.nlm.nih.gov/42747445/</w:t>
      </w:r>
    </w:p>
    <w:p>
      <w:pPr>
        <w:pStyle w:val="Heading2"/>
      </w:pPr>
      <w:r>
        <w:t>Opioid-Allergien-Labeling bewirkt unnötige Ausgrenzung sicherer Analgetika</w:t>
      </w:r>
    </w:p>
    <w:p>
      <w:r>
        <w:rPr>
          <w:i/>
          <w:color w:val="666666"/>
          <w:sz w:val="18"/>
        </w:rPr>
        <w:t>Eiset AH et al.  ·  Basic Clin Pharmacol Toxicol  ·  Okt. 2026  ·  PMID 42746690</w:t>
      </w:r>
    </w:p>
    <w:p>
      <w:r>
        <w:t>Audit von 14.661 Opioid-Allergieregistrierungen in elektronischen Patientenakten von sechs dänischen Krankenhäusern (2020–2023) validierte Text-Mining-Algorithmen zur Unterscheidung wahrer Überempfindlichkeit von normalen Nebenwirkungen.</w:t>
      </w:r>
    </w:p>
    <w:p>
      <w:r>
        <w:rPr>
          <w:b/>
        </w:rPr>
        <w:t xml:space="preserve">Ergebnis: </w:t>
      </w:r>
      <w:r>
        <w:t>Nur 19% (n = 2.710) der Registrierungen entsprachen einer wahrscheinlichen Allergie, überwiegend Hautausschlag oder Pruritus (71%). 33% der Patienten mit registrierter Allergie erhielten später sicher das gleiche Opioid; das Label ist ein sehr schwacher Prädiktor für echte Hypersensibilität.</w:t>
      </w:r>
    </w:p>
    <w:p>
      <w:r>
        <w:rPr>
          <w:b/>
          <w:sz w:val="19"/>
        </w:rPr>
        <w:t xml:space="preserve">Übertragbarkeit: </w:t>
      </w:r>
      <w:r>
        <w:rPr>
          <w:sz w:val="19"/>
        </w:rPr>
        <w:t>Dänemark mit Fehlermeldesystem ohne Verschuldensnachweis – Übertragung auf Arzthaftungs-Systeme mit Beweislast limitiert</w:t>
      </w:r>
    </w:p>
    <w:p>
      <w:r>
        <w:rPr>
          <w:color w:val="5A7D3A"/>
          <w:sz w:val="18"/>
        </w:rPr>
        <w:t>https://pubmed.ncbi.nlm.nih.gov/42746690/</w:t>
      </w:r>
    </w:p>
    <w:p>
      <w:pPr>
        <w:pStyle w:val="Heading2"/>
      </w:pPr>
      <w:r>
        <w:t>Falsch dokumentierte Penicillin-Allergie erhöht Infektionsrisiko bei Leberzirrhose-Patienten</w:t>
      </w:r>
    </w:p>
    <w:p>
      <w:r>
        <w:rPr>
          <w:i/>
          <w:color w:val="666666"/>
          <w:sz w:val="18"/>
        </w:rPr>
        <w:t>Danpanichkul P et al.  ·  Alcohol Clin Exp Res (Hoboken)  ·  Sept. 2026  ·  PMID 42745200</w:t>
      </w:r>
    </w:p>
    <w:p>
      <w:r>
        <w:t>Kohortenstudie mit Propensity-Score-Matching (n = 2.388) untersuchte die Auswirkung dokumentierter Penicillin-Allergie-Labels auf Infektionsraten bei Patienten mit alkoholischer Leberzirrhose in den USA.</w:t>
      </w:r>
    </w:p>
    <w:p>
      <w:r>
        <w:rPr>
          <w:b/>
        </w:rPr>
        <w:t xml:space="preserve">Ergebnis: </w:t>
      </w:r>
      <w:r>
        <w:t>Penicillin-Allergie-Label assoziiert mit erhöhtem Sepsis-Risiko (11,4% vs. 6,4%; HR 1,53; 95%-KI 1,16–2,02), Pneumonie (8,7% vs. 5,0%; HR 1,49), Harnwegsinfekt (11,7% vs. 6,6%; HR 1,55) und Alkoholhepatitis (19,0% vs. 13,5%; HR 1,27).</w:t>
      </w:r>
    </w:p>
    <w:p>
      <w:r>
        <w:rPr>
          <w:b/>
          <w:sz w:val="19"/>
        </w:rPr>
        <w:t xml:space="preserve">Übertragbarkeit: </w:t>
      </w:r>
      <w:r>
        <w:rPr>
          <w:sz w:val="19"/>
        </w:rPr>
        <w:t>USA-Daten, begrenzte Übertragbarkeit auf deutsche Dokumentations- und Haftungspraxis</w:t>
      </w:r>
    </w:p>
    <w:p>
      <w:r>
        <w:rPr>
          <w:color w:val="5A7D3A"/>
          <w:sz w:val="18"/>
        </w:rPr>
        <w:t>https://pubmed.ncbi.nlm.nih.gov/42745200/</w:t>
      </w:r>
    </w:p>
    <w:p>
      <w:pPr>
        <w:pStyle w:val="Heading2"/>
      </w:pPr>
      <w:r>
        <w:t>Hohe Sepsis-Inzidenz bei alkoholbedingter Zirrhose: 30%-Mortalität in erster Hospitalisierung</w:t>
      </w:r>
    </w:p>
    <w:p>
      <w:r>
        <w:rPr>
          <w:i/>
          <w:color w:val="666666"/>
          <w:sz w:val="18"/>
        </w:rPr>
        <w:t>Stenderup CJ et al.  ·  Liver Int  ·  Okt. 2026  ·  PMID 42741819</w:t>
      </w:r>
    </w:p>
    <w:p>
      <w:r>
        <w:t>Dänische populationsbasierte Studie aller Patienten mit alkoholbedingter Zirrhose (n = 2.511, 2013–2022) quantifizierte Sepsis- und Bakteriämie-Inzidenz und prognostische Faktoren.</w:t>
      </w:r>
    </w:p>
    <w:p>
      <w:r>
        <w:rPr>
          <w:b/>
        </w:rPr>
        <w:t xml:space="preserve">Ergebnis: </w:t>
      </w:r>
      <w:r>
        <w:t>Kumulative 3-Jahres-Inzidenz ernst gemeinter Systeminfektionen 5,9% (95%-KI 5,0–6,9). MELD-NA-Score war unabhängiger Prädiktor (sHR 1,05 pro Punkt; 95%-KI 1,02–1,08). 30-Tage-Mortalität nach Hospitalisierung mit Infektion: 30% (95%-KI 23–37). Enterobacterales 38%, Staphylokokken 25%, Streptokokken 22% der Isolate.</w:t>
      </w:r>
    </w:p>
    <w:p>
      <w:r>
        <w:rPr>
          <w:b/>
          <w:sz w:val="19"/>
        </w:rPr>
        <w:t xml:space="preserve">Übertragbarkeit: </w:t>
      </w:r>
      <w:r>
        <w:rPr>
          <w:sz w:val="19"/>
        </w:rPr>
        <w:t>Dänemark mit skandinavischem Melde- und Entschädigungssystem – Fallzahlen nicht mit deutschem vergleichbar</w:t>
      </w:r>
    </w:p>
    <w:p>
      <w:r>
        <w:rPr>
          <w:color w:val="5A7D3A"/>
          <w:sz w:val="18"/>
        </w:rPr>
        <w:t>https://pubmed.ncbi.nlm.nih.gov/42741819/</w:t>
      </w:r>
    </w:p>
    <w:p>
      <w:pPr>
        <w:pStyle w:val="Heading1"/>
      </w:pPr>
      <w:r>
        <w:t>Aufgenommen am 16.09.2026</w:t>
      </w:r>
    </w:p>
    <w:p>
      <w:pPr>
        <w:pStyle w:val="Heading2"/>
      </w:pPr>
      <w:r>
        <w:t>Infektionsprävention im Kreißsaal: Motivation schlägt Ressourcenmangel</w:t>
      </w:r>
    </w:p>
    <w:p>
      <w:r>
        <w:rPr>
          <w:i/>
          <w:color w:val="666666"/>
          <w:sz w:val="18"/>
        </w:rPr>
        <w:t>Riches JM et al.  ·  BMJ Glob Health  ·  15.09.2026  ·  PMID 42744564</w:t>
      </w:r>
    </w:p>
    <w:p>
      <w:r>
        <w:t>Mixed-Methods-Studie in drei Kreißsälen in Malawi identifizierte Barrieren und Förderfaktoren für Infektionsprävention vor Kaiserschnitt, um eine Verhaltensintervention zu entwickeln.</w:t>
      </w:r>
    </w:p>
    <w:p>
      <w:r>
        <w:rPr>
          <w:b/>
        </w:rPr>
        <w:t xml:space="preserve">Ergebnis: </w:t>
      </w:r>
      <w:r>
        <w:t>Beobachtung zeigte erhebliche Lücken in Händehygiene, aseptischer Technik und sterilem Arbeiten. Ressourcenmangel wirkte direkt und indirekt als Barriere durch Auswirkung auf Motivation. "Passion" für Patienten, regelmäßige Supervision und "Reminders" waren Förderfaktoren. Indirekte Motivation spielte eine ebenso wichtige Rolle wie verfügbare Ressourcen.</w:t>
      </w:r>
    </w:p>
    <w:p>
      <w:r>
        <w:rPr>
          <w:b/>
          <w:sz w:val="19"/>
        </w:rPr>
        <w:t xml:space="preserve">Übertragbarkeit: </w:t>
      </w:r>
      <w:r>
        <w:rPr>
          <w:sz w:val="19"/>
        </w:rPr>
        <w:t>Malawi, Erkenntnisse für Implementierungsforschung zur Verhaltensänderung</w:t>
      </w:r>
    </w:p>
    <w:p>
      <w:r>
        <w:rPr>
          <w:color w:val="5A7D3A"/>
          <w:sz w:val="18"/>
        </w:rPr>
        <w:t>https://pubmed.ncbi.nlm.nih.gov/42744564/</w:t>
      </w:r>
    </w:p>
    <w:p>
      <w:pPr>
        <w:pStyle w:val="Heading2"/>
      </w:pPr>
      <w:r>
        <w:t>"Zweites Opfer" in Gesundheitsberufen: physische, mentale und berufliche Schäden</w:t>
      </w:r>
    </w:p>
    <w:p>
      <w:r>
        <w:rPr>
          <w:i/>
          <w:color w:val="666666"/>
          <w:sz w:val="18"/>
        </w:rPr>
        <w:t>Vianna Gonçalves da Costa ECDC et al.  ·  PLoS One  ·  15.09.2026  ·  PMID 42743379</w:t>
      </w:r>
    </w:p>
    <w:p>
      <w:r>
        <w:t>Scoping Review untersuchte psychische, physische, berufliche und soziale Folgen des "Zweiten-Opfer"-Phänomens (psychische Traumatisierung von Fachpersonen nach Behandlungsfehlern) in 37 Publikationen aus 2009-2024.</w:t>
      </w:r>
    </w:p>
    <w:p>
      <w:r>
        <w:rPr>
          <w:b/>
        </w:rPr>
        <w:t xml:space="preserve">Ergebnis: </w:t>
      </w:r>
      <w:r>
        <w:t>Überwiegend qualitative Studien (n=14), hospitales Umfeld (n=25), Pflege am meisten erforscht (n=27). 39 Auswirkungen wurden kartografiert: psychische Dimension identifizierte Suizidgedanken als Risiko. Berufliche Dimension mit höchster Anzahl von Folgen (Kündigungen, Karriereverlust). Studie belegt starke Beziehung zwischen Fehlertraumatisierung und Arbeiter-Sicherheit.</w:t>
      </w:r>
    </w:p>
    <w:p>
      <w:r>
        <w:rPr>
          <w:b/>
          <w:sz w:val="19"/>
        </w:rPr>
        <w:t xml:space="preserve">Übertragbarkeit: </w:t>
      </w:r>
      <w:r>
        <w:rPr>
          <w:sz w:val="19"/>
        </w:rPr>
        <w:t>Globale Evidenz aus 22 Ländern, Pflegefokus, Implementierung notwendig</w:t>
      </w:r>
    </w:p>
    <w:p>
      <w:r>
        <w:rPr>
          <w:color w:val="5A7D3A"/>
          <w:sz w:val="18"/>
        </w:rPr>
        <w:t>https://pubmed.ncbi.nlm.nih.gov/42743379/</w:t>
      </w:r>
    </w:p>
    <w:p>
      <w:pPr>
        <w:pStyle w:val="Heading2"/>
      </w:pPr>
      <w:r>
        <w:t>ESBL-Kolonisierungsdruck erhöht Infektionsrisiko auf Neugeborenen-Stationen</w:t>
      </w:r>
    </w:p>
    <w:p>
      <w:r>
        <w:rPr>
          <w:i/>
          <w:color w:val="666666"/>
          <w:sz w:val="18"/>
        </w:rPr>
        <w:t>Cook A et al.  ·  JAMA Netw Open  ·  01.09.2026  ·  PMID 42742944</w:t>
      </w:r>
    </w:p>
    <w:p>
      <w:r>
        <w:t>Multizenterstudie an 24 europäischen Neonatalstationen untersuchte, ob die Kolonisierungsdichte mit ESBL-tragenden Bakterien das Risiko für Neugeborene, selbst eine ESBL-Infektion zu entwickeln, beeinflusst.</w:t>
      </w:r>
    </w:p>
    <w:p>
      <w:r>
        <w:rPr>
          <w:b/>
        </w:rPr>
        <w:t xml:space="preserve">Ergebnis: </w:t>
      </w:r>
      <w:r>
        <w:t>Eine Zunahme der Kolonisierungsdruck um 10 % war mit erhöhter Übernahmequote assoziiert (OR 1,89 bei 4-Tage-Abstand, 95%-KI 1,22-2,94; OR 1,76 bei 7 Tagen, 95%-KI 1,26-2,63; OR 1,73 bei 14 Tagen, 95%-KI 1,15-2,52). Maßnahmen auf Stationsebene könnten direkte und indirekte Vorteile bringen.</w:t>
      </w:r>
    </w:p>
    <w:p>
      <w:r>
        <w:rPr>
          <w:b/>
          <w:sz w:val="19"/>
        </w:rPr>
        <w:t xml:space="preserve">Übertragbarkeit: </w:t>
      </w:r>
      <w:r>
        <w:rPr>
          <w:sz w:val="19"/>
        </w:rPr>
        <w:t>Acht europäische Länder, deutschsprachige Einrichtungen vergleichbar</w:t>
      </w:r>
    </w:p>
    <w:p>
      <w:r>
        <w:rPr>
          <w:color w:val="5A7D3A"/>
          <w:sz w:val="18"/>
        </w:rPr>
        <w:t>https://pubmed.ncbi.nlm.nih.gov/42742944/</w:t>
      </w:r>
    </w:p>
    <w:p>
      <w:pPr>
        <w:pStyle w:val="Heading2"/>
      </w:pPr>
      <w:r>
        <w:t>Psychische und kontextuelle Faktoren treiben Infektionsprävention mehr als Wissen</w:t>
      </w:r>
    </w:p>
    <w:p>
      <w:r>
        <w:rPr>
          <w:i/>
          <w:color w:val="666666"/>
          <w:sz w:val="18"/>
        </w:rPr>
        <w:t>Ventura F et al.  ·  Glob Health Action  ·  15.09.2026  ·  PMID 42742348</w:t>
      </w:r>
    </w:p>
    <w:p>
      <w:r>
        <w:t>Evaluierung des kulturell adaptierten InovSafeCare-Modells zur Infektionsprävention und -kontrolle bei 486 Pflegestudierenden in vier Instituten in Tansania und Madagaskar mit Fragebogen und Pfadanalyse.</w:t>
      </w:r>
    </w:p>
    <w:p>
      <w:r>
        <w:rPr>
          <w:b/>
        </w:rPr>
        <w:t xml:space="preserve">Ergebnis: </w:t>
      </w:r>
      <w:r>
        <w:t>10-Faktor-Lösung erklärt 52,1 % der Varianz (Cronbachs α: 0,64-0,88). Strukturmodell zeigt akzeptable Passung (CFI=0,88; RMSEA=0,097). Kein direkter Zusammenhang zwischen Bildung und Adhärenz, stattdessen vermittelter Effekt über Motivation, Erwartungen, Skepsis, Umweltkomplexität und Überlastung. Modell erklärt 18,9 % der Varianz in Adhärenz. Psychische und kontextuelle Mediatoren sind kritisch.</w:t>
      </w:r>
    </w:p>
    <w:p>
      <w:r>
        <w:rPr>
          <w:b/>
          <w:sz w:val="19"/>
        </w:rPr>
        <w:t xml:space="preserve">Übertragbarkeit: </w:t>
      </w:r>
      <w:r>
        <w:rPr>
          <w:sz w:val="19"/>
        </w:rPr>
        <w:t>Sub-Sahara-Afrika, valides Messinstrument für Implementierungsforschung</w:t>
      </w:r>
    </w:p>
    <w:p>
      <w:r>
        <w:rPr>
          <w:color w:val="5A7D3A"/>
          <w:sz w:val="18"/>
        </w:rPr>
        <w:t>https://pubmed.ncbi.nlm.nih.gov/42742348/</w:t>
      </w:r>
    </w:p>
    <w:p>
      <w:pPr>
        <w:pStyle w:val="Heading2"/>
      </w:pPr>
      <w:r>
        <w:t>Landiolol senkt Herzfrequenz bei Sepsis mit neuem Vorhofflimmern sicher</w:t>
      </w:r>
    </w:p>
    <w:p>
      <w:r>
        <w:rPr>
          <w:i/>
          <w:color w:val="666666"/>
          <w:sz w:val="18"/>
        </w:rPr>
        <w:t>Guarracino F et al.  ·  Crit Care  ·  07.08.2026  ·  PMID 42736570</w:t>
      </w:r>
    </w:p>
    <w:p>
      <w:r>
        <w:t>Europäischer Delphi-Konsens von neun Intensivmedizinern und Kardiologen untersuchte, wie man Vorhofflimmern bei septischem Schock mit Herzfrequenzkontrolle managen sollte, mit Fokus auf den ultraselektiven β₁-Blocker Landiolol.</w:t>
      </w:r>
    </w:p>
    <w:p>
      <w:r>
        <w:rPr>
          <w:b/>
        </w:rPr>
        <w:t xml:space="preserve">Ergebnis: </w:t>
      </w:r>
      <w:r>
        <w:t>70,9 % der 55 Aussagen erreichten Konsens (≥80 % Übereinstimmung). Landiolol wurde für HR-Kontrolle bei ausgewählten Sepsis-Patienten empfohlen: ohne Bolus starten, niedrig titrieren, Ziel &lt;110 bpm mit engem hämodynamischen Monitoring. Kein Konsens zu optimaler Dauer oder Einsatz bei schwerer Ventrikeldysfunktion.</w:t>
      </w:r>
    </w:p>
    <w:p>
      <w:r>
        <w:rPr>
          <w:b/>
          <w:sz w:val="19"/>
        </w:rPr>
        <w:t xml:space="preserve">Übertragbarkeit: </w:t>
      </w:r>
      <w:r>
        <w:rPr>
          <w:sz w:val="19"/>
        </w:rPr>
        <w:t>Deutschland, Österreich, Frankreich, europäisches Konsens-Verfahren</w:t>
      </w:r>
    </w:p>
    <w:p>
      <w:r>
        <w:rPr>
          <w:color w:val="5A7D3A"/>
          <w:sz w:val="18"/>
        </w:rPr>
        <w:t>https://pubmed.ncbi.nlm.nih.gov/42736570/</w:t>
      </w:r>
    </w:p>
    <w:p>
      <w:pPr>
        <w:pStyle w:val="Heading2"/>
      </w:pPr>
      <w:r>
        <w:t>Serum-Meprin α identifiziert SIRS-Patienten zuverlässiger als klassische Parameter</w:t>
      </w:r>
    </w:p>
    <w:p>
      <w:r>
        <w:rPr>
          <w:i/>
          <w:color w:val="666666"/>
          <w:sz w:val="18"/>
        </w:rPr>
        <w:t>Beckinger S et al.  ·  Mol Med  ·  18.07.2026  ·  PMID 42471588</w:t>
      </w:r>
    </w:p>
    <w:p>
      <w:r>
        <w:t>Studie mit Transgen-Mausmodell und Intensivpatienten untersuchte, ob das Metalloprotease Meprin α als Biomarker für systemische Entzündungsreaktion (SIRS) taugt.</w:t>
      </w:r>
    </w:p>
    <w:p>
      <w:r>
        <w:rPr>
          <w:b/>
        </w:rPr>
        <w:t xml:space="preserve">Ergebnis: </w:t>
      </w:r>
      <w:r>
        <w:t>K5Mα-Mäuse entwickelten tödliche SIRS mit Hypothermie, Gewichtsverlust, Anämie und Zytokinsturm. Serum-Meprin-α-Spiegel korrelierten mit Krankheitsverlauf. Hohe Meprin-α-Spiegel waren bei allen SIRS-Patienten (n=19) nachweisbar, aber bei keinem Non-SIRS-Patienten (n=29). Meprin α korrelierte mit C-reaktivem Protein, Procalcitonin und Leukozyten, erlaubte aber klare Unterscheidung von SIRS.</w:t>
      </w:r>
    </w:p>
    <w:p>
      <w:r>
        <w:rPr>
          <w:b/>
          <w:sz w:val="19"/>
        </w:rPr>
        <w:t xml:space="preserve">Übertragbarkeit: </w:t>
      </w:r>
      <w:r>
        <w:rPr>
          <w:sz w:val="19"/>
        </w:rPr>
        <w:t>Deutschland, kleine Kohorte, größere Multizenterstudie notwendig</w:t>
      </w:r>
    </w:p>
    <w:p>
      <w:r>
        <w:rPr>
          <w:color w:val="5A7D3A"/>
          <w:sz w:val="18"/>
        </w:rPr>
        <w:t>https://pubmed.ncbi.nlm.nih.gov/42471588/</w:t>
      </w:r>
    </w:p>
    <w:p>
      <w:pPr>
        <w:pStyle w:val="Heading1"/>
      </w:pPr>
      <w:r>
        <w:t>Aufgenommen am 15.09.2026</w:t>
      </w:r>
    </w:p>
    <w:p>
      <w:pPr>
        <w:pStyle w:val="Heading2"/>
      </w:pPr>
      <w:r>
        <w:t>Notfalldesinfektion von Einmalmedizinprodukten: Peressigsäure und Ethanol reduzierten Keime um über 90 %</w:t>
      </w:r>
    </w:p>
    <w:p>
      <w:r>
        <w:rPr>
          <w:i/>
          <w:color w:val="666666"/>
          <w:sz w:val="18"/>
        </w:rPr>
        <w:t>Chevalley K et al.  ·  Prehosp Disaster Med  ·  14.09.2026  ·  PMID 42734164</w:t>
      </w:r>
    </w:p>
    <w:p>
      <w:r>
        <w:t>Bei Versorgungsengpässen wurden klinisch genutzte Einmalmedizinprodukte (Tuben, Masken, Katheter) mit Peressigsäure, 70%-Ethanol oder Spülmittel gereinigt und dann auf Keimbelastung sowie funktionelle Integrität getestet.</w:t>
      </w:r>
    </w:p>
    <w:p>
      <w:r>
        <w:rPr>
          <w:b/>
        </w:rPr>
        <w:t xml:space="preserve">Ergebnis: </w:t>
      </w:r>
      <w:r>
        <w:t>Alle drei Mittel reduzierten die bakterielle Belastung statistisch signifikant (p&lt;0,05), ohne strukturelle Schäden zu verursachen. H. influenzae und S. aureus waren vor Reinigung in 47 % der Atemwegsgeräte nachweisbar, danach in keiner Probe. Methode ersetzt kein validiertes Sterilisationsverfahren, könnte aber Notfall-Letztresort sein.</w:t>
      </w:r>
    </w:p>
    <w:p>
      <w:r>
        <w:rPr>
          <w:b/>
          <w:sz w:val="19"/>
        </w:rPr>
        <w:t xml:space="preserve">Übertragbarkeit: </w:t>
      </w:r>
      <w:r>
        <w:rPr>
          <w:sz w:val="19"/>
        </w:rPr>
        <w:t>Schweden, mit Kriegsszenario relevante Szene; Methoden sind auch in Deutschland anwendbar, für Lagerhaltung im Krisenfall zu prüfen.</w:t>
      </w:r>
    </w:p>
    <w:p>
      <w:r>
        <w:rPr>
          <w:color w:val="5A7D3A"/>
          <w:sz w:val="18"/>
        </w:rPr>
        <w:t>https://pubmed.ncbi.nlm.nih.gov/42734164/</w:t>
      </w:r>
    </w:p>
    <w:p>
      <w:pPr>
        <w:pStyle w:val="Heading2"/>
      </w:pPr>
      <w:r>
        <w:t>Sicherheitspläne für psychiatrische Patienten: Zahl stieg, aber Qualität blieb niedrig (7,67 von 22 Punkten)</w:t>
      </w:r>
    </w:p>
    <w:p>
      <w:r>
        <w:rPr>
          <w:i/>
          <w:color w:val="666666"/>
          <w:sz w:val="18"/>
        </w:rPr>
        <w:t>Farmer E et al.  ·  Int J Ment Health Nurs  ·  Okt. 2026  ·  PMID 42725545</w:t>
      </w:r>
    </w:p>
    <w:p>
      <w:r>
        <w:t>Ein australisches Spital führte Schulung für strukturierte Sicherheitspläne bei entlassungsreifen psychiatrischen Patienten ein und untersuchte Implementierungsbefunde und Qualität.</w:t>
      </w:r>
    </w:p>
    <w:p>
      <w:r>
        <w:rPr>
          <w:b/>
        </w:rPr>
        <w:t xml:space="preserve">Ergebnis: </w:t>
      </w:r>
      <w:r>
        <w:t>Zahl der erstellten Pläne nahm zu. Durchschnittliche Qualität aber niedrig (7,67 Punkte auf 22-Punkte-Skala). Qualitative Befunde ergaben Barrieren: Zeitdruck, unzureichende Schulung, Procedural Drift. Fachkräfte und Patienten erwähnten Wert, aber fehlende Komponenten (Frühwarnzeichen, Bewältigungsmechanismen, externe Ressourcen, Mittelzugang).</w:t>
      </w:r>
    </w:p>
    <w:p>
      <w:r>
        <w:rPr>
          <w:b/>
          <w:sz w:val="19"/>
        </w:rPr>
        <w:t xml:space="preserve">Übertragbarkeit: </w:t>
      </w:r>
      <w:r>
        <w:rPr>
          <w:sz w:val="19"/>
        </w:rPr>
        <w:t>Australien, Struktur übertragbar; zeigt Implementierungs-Compliance-Problem: Prozess läuft, Qualität nicht.</w:t>
      </w:r>
    </w:p>
    <w:p>
      <w:r>
        <w:rPr>
          <w:color w:val="5A7D3A"/>
          <w:sz w:val="18"/>
        </w:rPr>
        <w:t>https://pubmed.ncbi.nlm.nih.gov/42725545/</w:t>
      </w:r>
    </w:p>
    <w:p>
      <w:pPr>
        <w:pStyle w:val="Heading2"/>
      </w:pPr>
      <w:r>
        <w:t>Hand- und Handybelastung von Klinikpersonal: Keimabstrichkulturen zeigen positive Assoziation, aber nur teilweise Übereinstimmung</w:t>
      </w:r>
    </w:p>
    <w:p>
      <w:r>
        <w:rPr>
          <w:i/>
          <w:color w:val="666666"/>
          <w:sz w:val="18"/>
        </w:rPr>
        <w:t>Jiang W et al.  ·  Front Cell Infect Microbiol  ·  26.08.2026  ·  PMID 42718797</w:t>
      </w:r>
    </w:p>
    <w:p>
      <w:r>
        <w:t>In einer chinesischen Klinik wurden an 126 Ärzte, Pfleger und Helfer gepaarte Handabstriche und Handyoberflächen-Kulturen genommen, um Kontamination und Übertragungspotential zu charakterisieren.</w:t>
      </w:r>
    </w:p>
    <w:p>
      <w:r>
        <w:rPr>
          <w:b/>
        </w:rPr>
        <w:t xml:space="preserve">Ergebnis: </w:t>
      </w:r>
      <w:r>
        <w:t>Mittlere Handbelastung 11,67 CFU/cm² (IQR 1,67–54,17), Handys 950 CFU (IQR 300–2575). Positive Spearman-Korrelation (rho=0,514, p&lt;0,001). Mediale Jaccard-Ähnlichkeit 0,50, durchschnittlich 1 gemeinsamer Keim pro Paar. Koagulase-negative Staphylokokken einzige signifikante diskordante Detektion.</w:t>
      </w:r>
    </w:p>
    <w:p>
      <w:r>
        <w:rPr>
          <w:b/>
          <w:sz w:val="19"/>
        </w:rPr>
        <w:t xml:space="preserve">Übertragbarkeit: </w:t>
      </w:r>
      <w:r>
        <w:rPr>
          <w:sz w:val="19"/>
        </w:rPr>
        <w:t>China, aber Handkeim-Epidemiologie universal; Hinweis: Hände und Handys sind nicht synchron kontaminiert – erfordert separate Hygienemaßnahmen.</w:t>
      </w:r>
    </w:p>
    <w:p>
      <w:r>
        <w:rPr>
          <w:color w:val="5A7D3A"/>
          <w:sz w:val="18"/>
        </w:rPr>
        <w:t>https://pubmed.ncbi.nlm.nih.gov/42718797/</w:t>
      </w:r>
    </w:p>
    <w:p>
      <w:pPr>
        <w:pStyle w:val="Heading2"/>
      </w:pPr>
      <w:r>
        <w:t>NHS-Fehlermeldesystem: Gesetzliche Haftungsregeln beeinflussen, was gemeldet wird und was daraus folgt</w:t>
      </w:r>
    </w:p>
    <w:p>
      <w:r>
        <w:rPr>
          <w:i/>
          <w:color w:val="666666"/>
          <w:sz w:val="18"/>
        </w:rPr>
        <w:t>Tingle J  ·  Br J Nurs  ·  06.08.2026  ·  PMID 42555592</w:t>
      </w:r>
    </w:p>
    <w:p>
      <w:r>
        <w:t>Britischer Rechtswissenschaftler analysiert aktuelle NHS-Resolution-Berichte zur Meldekultur und Entschädigungssystematik im englischen Gesundheitswesen.</w:t>
      </w:r>
    </w:p>
    <w:p>
      <w:r>
        <w:rPr>
          <w:b/>
        </w:rPr>
        <w:t xml:space="preserve">Ergebnis: </w:t>
      </w:r>
      <w:r>
        <w:t>Britisches System nutzt kein Schuldprinzip wie Deutschland (§ 630h BGB Umkehr), sondern klärt durch NHS Resolution (Haftung bei diagnostizierbarem Schaden). Meldezahlen daher nicht mit Deutschland vergleichbar. Unterschiede in Entschädigung (no-fault-Prinzipien England vs. Schuldnachweis Deutschland) bestimmen, welche Fehler gemeldet und entschädigt werden.</w:t>
      </w:r>
    </w:p>
    <w:p>
      <w:r>
        <w:rPr>
          <w:b/>
          <w:sz w:val="19"/>
        </w:rPr>
        <w:t xml:space="preserve">Übertragbarkeit: </w:t>
      </w:r>
      <w:r>
        <w:rPr>
          <w:sz w:val="19"/>
        </w:rPr>
        <w:t>Großbritannien/England – Haftungssystem (Entschädigung ohne Schuldnachweis) fundamental anders als Deutschland; Transfer-Vorsicht wegen Meldevergleichbarkeit.</w:t>
      </w:r>
    </w:p>
    <w:p>
      <w:r>
        <w:rPr>
          <w:color w:val="5A7D3A"/>
          <w:sz w:val="18"/>
        </w:rPr>
        <w:t>https://pubmed.ncbi.nlm.nih.gov/42555592/</w:t>
      </w:r>
    </w:p>
    <w:p>
      <w:pPr>
        <w:pStyle w:val="Heading2"/>
      </w:pPr>
      <w:r>
        <w:t>After Action Review verbesser­te Fehlerkultur in irischem Spital, nicht aber Sekundärtraumata von Mitarbeitern</w:t>
      </w:r>
    </w:p>
    <w:p>
      <w:r>
        <w:rPr>
          <w:i/>
          <w:color w:val="666666"/>
          <w:sz w:val="18"/>
        </w:rPr>
        <w:t>McCarthy SE et al.  ·  BMC Health Serv Res  ·  15.07.2026  ·  PMID 42458452</w:t>
      </w:r>
    </w:p>
    <w:p>
      <w:r>
        <w:t>Ein irisches Universitätsspital führte Simulation-basiertes Training in After Action Review (AAR) durch und untersuchte, ob dies die Patientensicherheitskultur (HSOPS 2.0) und das Wohlbefinden von Mitarbeitern (SVEST) nach 12 Monaten verbessert.</w:t>
      </w:r>
    </w:p>
    <w:p>
      <w:r>
        <w:rPr>
          <w:b/>
        </w:rPr>
        <w:t xml:space="preserve">Ergebnis: </w:t>
      </w:r>
      <w:r>
        <w:t>37 % des Personals kannte AAR, 10 % nahmen teil. 39 AAR-Sitzungen wurden durchgeführt (Kosten durchschnittlich 48 Euro). Gesamtsicherheitskultur stieg nicht an (33 % vs. 16 % Responserate, Fallzahl n=586). Aber: Reaktion auf Fehler verbesserte sich (mit AAR-Teilnahme assoziiert). Psychisches und physisches Wohlbefinden der Mitarbeiter verschlechterte sich, ebenso berufliche Selbstwirksamkeit.</w:t>
      </w:r>
    </w:p>
    <w:p>
      <w:r>
        <w:rPr>
          <w:b/>
          <w:sz w:val="19"/>
        </w:rPr>
        <w:t xml:space="preserve">Übertragbarkeit: </w:t>
      </w:r>
      <w:r>
        <w:rPr>
          <w:sz w:val="19"/>
        </w:rPr>
        <w:t>Irland, vergleichbare Meldekultur; AAR-Struktur ist deutsch übertragbar, Resultate aber ernüchternd.</w:t>
      </w:r>
    </w:p>
    <w:p>
      <w:r>
        <w:rPr>
          <w:color w:val="5A7D3A"/>
          <w:sz w:val="18"/>
        </w:rPr>
        <w:t>https://pubmed.ncbi.nlm.nih.gov/42458452/</w:t>
      </w:r>
    </w:p>
    <w:p>
      <w:pPr>
        <w:pStyle w:val="Heading2"/>
      </w:pPr>
      <w:r>
        <w:t>Öffentlichkeit überschätzte Antidepressiva-Wirkung um 11 Punkte (MADRS) und unterschätzte Nebenwirkungshäufigkeit</w:t>
      </w:r>
    </w:p>
    <w:p>
      <w:r>
        <w:rPr>
          <w:i/>
          <w:color w:val="666666"/>
          <w:sz w:val="18"/>
        </w:rPr>
        <w:t>Apel K et al.  ·  Sci Rep  ·  15.07.2026  ·  PMID 42457810</w:t>
      </w:r>
    </w:p>
    <w:p>
      <w:r>
        <w:t>Deutsche Querschnittsstudie (208 Personen mit und ohne Depressionserfahrung) mithilfe von Fallszenarien und normierten Bewertungs­skalen: Wie wirksam müssen Antidepressiva sein, um Nebenwirkungen zu tolerieren.</w:t>
      </w:r>
    </w:p>
    <w:p>
      <w:r>
        <w:rPr>
          <w:b/>
        </w:rPr>
        <w:t xml:space="preserve">Ergebnis: </w:t>
      </w:r>
      <w:r>
        <w:t>Antidepressiva-Wirkung wurde signifikant überschätzt (t(204)=8,96, p&lt;0,001, d=0,63, 11 MADRS-Punkte über echte Rate). Bei 13 von 15 abgefragten Nebenwirkungen wurden Häufigkeiten unterschätzt. Beispiel: Um Anfallsrisiko zu akzeptieren, forderten Befragte Symptomverbesserung um 23,51±8,82 MADRS-Punkte. Diskrepanz zwischen Erwartung und evidenzbasierter Information erheblich.</w:t>
      </w:r>
    </w:p>
    <w:p>
      <w:r>
        <w:rPr>
          <w:b/>
          <w:sz w:val="19"/>
        </w:rPr>
        <w:t xml:space="preserve">Übertragbarkeit: </w:t>
      </w:r>
      <w:r>
        <w:rPr>
          <w:sz w:val="19"/>
        </w:rPr>
        <w:t>Deutschland (Erlangen), direkt anwendbar; zeigt Beratungslücke: Patient-Arzt-Kommunikation muss Risiken explicit adressieren.</w:t>
      </w:r>
    </w:p>
    <w:p>
      <w:r>
        <w:rPr>
          <w:color w:val="5A7D3A"/>
          <w:sz w:val="18"/>
        </w:rPr>
        <w:t>https://pubmed.ncbi.nlm.nih.gov/42457810/</w:t>
      </w:r>
    </w:p>
    <w:p>
      <w:pPr>
        <w:pStyle w:val="Heading1"/>
      </w:pPr>
      <w:r>
        <w:t>Aufgenommen am 14.09.2026</w:t>
      </w:r>
    </w:p>
    <w:p>
      <w:pPr>
        <w:pStyle w:val="Heading2"/>
      </w:pPr>
      <w:r>
        <w:t>Digitale Risikovorhersage-Tools für Medikationsschaden: Klinikerperspektiven zu Adoptionsbarrieren</w:t>
      </w:r>
    </w:p>
    <w:p>
      <w:r>
        <w:rPr>
          <w:i/>
          <w:color w:val="666666"/>
          <w:sz w:val="18"/>
        </w:rPr>
        <w:t>Lam JYJ et al.  ·  J Eval Clin Pract  ·  Sept. 2026  ·  PMID 42732558</w:t>
      </w:r>
    </w:p>
    <w:p>
      <w:r>
        <w:t>Qualitative Studie mit 22 semi-strukturierten Interviews (6 Ärzte, 11 Apotheker, 5 Informatiker) an drei australischen Krankenhäusern: Barrieren und Enabler für die Implementierung digitaler Risikovorhersage-Tools (RPTs) zur Medikationssicherheit.</w:t>
      </w:r>
    </w:p>
    <w:p>
      <w:r>
        <w:rPr>
          <w:b/>
        </w:rPr>
        <w:t xml:space="preserve">Ergebnis: </w:t>
      </w:r>
      <w:r>
        <w:t>Fünf Themen identifiziert: Kliniker-Vertrauen, wahrgenommener Nutzen, organisationale Bereitschaft, Workflow-Integration, Zuverlässigkeit. Gewünschte Merkmale: Automatisierung, Feedback-Funktionalität, Workflow-Kompatibilität. Enablers: umfassendes Feedback, Ressourcentplanung. Barrieren: unzureichende Systemintegration, Tool-Zuverlässigkeitsunsicherheit. 85 % erkannten Wert für Medikationssicherheit.</w:t>
      </w:r>
    </w:p>
    <w:p>
      <w:r>
        <w:rPr>
          <w:b/>
          <w:sz w:val="19"/>
        </w:rPr>
        <w:t xml:space="preserve">Übertragbarkeit: </w:t>
      </w:r>
      <w:r>
        <w:rPr>
          <w:sz w:val="19"/>
        </w:rPr>
        <w:t>Australien, Sozialversicherungssystem unterschiedlich, Implementierungs-Ergebnisse gelten konzeptuell</w:t>
      </w:r>
    </w:p>
    <w:p>
      <w:r>
        <w:rPr>
          <w:color w:val="5A7D3A"/>
          <w:sz w:val="18"/>
        </w:rPr>
        <w:t>https://pubmed.ncbi.nlm.nih.gov/42732558/</w:t>
      </w:r>
    </w:p>
    <w:p>
      <w:pPr>
        <w:pStyle w:val="Heading2"/>
      </w:pPr>
      <w:r>
        <w:t>Frühe Erkennung und Behandlung von CAR-T- und VST-Zelltherapie-Komplikationen: Klinische Leitlinie</w:t>
      </w:r>
    </w:p>
    <w:p>
      <w:r>
        <w:rPr>
          <w:i/>
          <w:color w:val="666666"/>
          <w:sz w:val="18"/>
        </w:rPr>
        <w:t>Ussowicz M et al.  ·  Front Immunol  ·  28.08.2026  ·  PMID 42729916</w:t>
      </w:r>
    </w:p>
    <w:p>
      <w:r>
        <w:t>Narrative Übersicht mit aktualisierten Empfehlungen zur Erkennung und Behandlung früher Toxizitätsprofile nach CAR-T-Zelltherapie und virusspezifischen T-Lymphozyten, basierend auf validierten Grading-Kriterien.</w:t>
      </w:r>
    </w:p>
    <w:p>
      <w:r>
        <w:rPr>
          <w:b/>
        </w:rPr>
        <w:t xml:space="preserve">Ergebnis: </w:t>
      </w:r>
      <w:r>
        <w:t>CRS wird nach ASTCT-Kriterien klassifiziert, Tocilizumab ist Erst-Therapie. Steroid-refraktäre ICANS wird mit hochdosiertem intravenösem Anakinra (bis 12 mg/kg/Tag) behandelt – derzeit best-studied second-line-Option. ICAHT nutzt validiertes EHA/EBMT-Framework (früh Tag 0–30, spät &gt;Tag 30). Übersicht nennt konkrete Monitoreintervalle, ICU-Eskalationskriterien und differenziell-diagnostische Ansätze.</w:t>
      </w:r>
    </w:p>
    <w:p>
      <w:r>
        <w:rPr>
          <w:b/>
          <w:sz w:val="19"/>
        </w:rPr>
        <w:t xml:space="preserve">Übertragbarkeit: </w:t>
      </w:r>
      <w:r>
        <w:rPr>
          <w:sz w:val="19"/>
        </w:rPr>
        <w:t>Europäische und internationale Praxis; Empfehlungen sind versorgungssystemunabhängig</w:t>
      </w:r>
    </w:p>
    <w:p>
      <w:r>
        <w:rPr>
          <w:color w:val="5A7D3A"/>
          <w:sz w:val="18"/>
        </w:rPr>
        <w:t>https://pubmed.ncbi.nlm.nih.gov/42729916/</w:t>
      </w:r>
    </w:p>
    <w:p>
      <w:pPr>
        <w:pStyle w:val="Heading2"/>
      </w:pPr>
      <w:r>
        <w:t>Multidimensionales Nomogramm zur Stratifizierung des Blutinfektionsrisikos bei Hämatologischen Malignitäten</w:t>
      </w:r>
    </w:p>
    <w:p>
      <w:r>
        <w:rPr>
          <w:i/>
          <w:color w:val="666666"/>
          <w:sz w:val="18"/>
        </w:rPr>
        <w:t>Lan L et al.  ·  Front Cell Infect Microbiol  ·  27.08.2026  ·  PMID 42723754</w:t>
      </w:r>
    </w:p>
    <w:p>
      <w:r>
        <w:t>Retrospektive Kohortenstudie mit 3014 Patienten mit hämatologischen Malignitäten: Entwicklung eines Prognosemodells zur Vorhersage von Blutinfektionen und 90-Tage-Mortalität.</w:t>
      </w:r>
    </w:p>
    <w:p>
      <w:r>
        <w:rPr>
          <w:b/>
        </w:rPr>
        <w:t xml:space="preserve">Ergebnis: </w:t>
      </w:r>
      <w:r>
        <w:t>Das Modell für Blutinfektion erreichte AUC 0,775 (Ableitungskohorte) und 0,761 (Validierungskohorte); das Mortalitätsmodell C-Index von 0,721 bzw. 0,713. Neutrophilenzahl ≤0,5 × 10⁹/L erhielt höchste Punkt-Allokation. Polymikrobielle Infektionen zeigten höchste Gewichtung im Mortalitätsmodell. Beide Modelle zeigten akzeptable Kalibrierung.</w:t>
      </w:r>
    </w:p>
    <w:p>
      <w:r>
        <w:rPr>
          <w:b/>
          <w:sz w:val="19"/>
        </w:rPr>
        <w:t xml:space="preserve">Übertragbarkeit: </w:t>
      </w:r>
      <w:r>
        <w:rPr>
          <w:sz w:val="19"/>
        </w:rPr>
        <w:t>China, ähnliche Versorgungsstrukturen in Universitätskliniken; externe Validierung erforderlich</w:t>
      </w:r>
    </w:p>
    <w:p>
      <w:r>
        <w:rPr>
          <w:color w:val="5A7D3A"/>
          <w:sz w:val="18"/>
        </w:rPr>
        <w:t>https://pubmed.ncbi.nlm.nih.gov/42723754/</w:t>
      </w:r>
    </w:p>
    <w:p>
      <w:pPr>
        <w:pStyle w:val="Heading2"/>
      </w:pPr>
      <w:r>
        <w:t>Risikoadjustierung bei Medicare-Advantage mit Encounter-Daten: HCC-Modell-Rekalibrierung</w:t>
      </w:r>
    </w:p>
    <w:p>
      <w:r>
        <w:rPr>
          <w:i/>
          <w:color w:val="666666"/>
          <w:sz w:val="18"/>
        </w:rPr>
        <w:t>Carlin CS et al.  ·  Health Serv Res  ·  Okt. 2026  ·  PMID 42720268</w:t>
      </w:r>
    </w:p>
    <w:p>
      <w:r>
        <w:t>Vergleichende Analyse US-amerikanischer Claims: Replizierung des CMS Hierarchical Condition Category (HCC) Risikomodells mit Traditional Medicare (TM) und Medicare Advantage (MA) Daten 2016–2022; Test der Auswirkungen auf Zahlungsanpassungen.</w:t>
      </w:r>
    </w:p>
    <w:p>
      <w:r>
        <w:rPr>
          <w:b/>
        </w:rPr>
        <w:t xml:space="preserve">Ergebnis: </w:t>
      </w:r>
      <w:r>
        <w:t>MA-basierte HCC-Scores waren 8,9 % niedriger als TM-basierte (p &lt; 0,001). TM-Daten aus 2016–2022 führten zu 1,7 % niedrigeren durchschnittlichen Scores vs. CMS-Standard (2018–2019). Koeffizient-Trends bei steigenden Diagnose-Prävalenzen waren verdünnt. Unterschiede zwischen MA und TM variierten über die Score-Verteilung. Rassische/ethnische oder ländliche Unterschiede in Enrollmentinzentiven entstanden nicht.</w:t>
      </w:r>
    </w:p>
    <w:p>
      <w:r>
        <w:rPr>
          <w:b/>
          <w:sz w:val="19"/>
        </w:rPr>
        <w:t xml:space="preserve">Übertragbarkeit: </w:t>
      </w:r>
      <w:r>
        <w:rPr>
          <w:sz w:val="19"/>
        </w:rPr>
        <w:t>USA, nicht übertragbar; Finanzierungslogik grundlegend anders</w:t>
      </w:r>
    </w:p>
    <w:p>
      <w:r>
        <w:rPr>
          <w:color w:val="5A7D3A"/>
          <w:sz w:val="18"/>
        </w:rPr>
        <w:t>https://pubmed.ncbi.nlm.nih.gov/42720268/</w:t>
      </w:r>
    </w:p>
    <w:p>
      <w:pPr>
        <w:pStyle w:val="Heading2"/>
      </w:pPr>
      <w:r>
        <w:t>Dynamische Probiotika-Strategien für Nekrotisierende Enterokolitis in Frühgeborenen: Studienprotokoll</w:t>
      </w:r>
    </w:p>
    <w:p>
      <w:r>
        <w:rPr>
          <w:i/>
          <w:color w:val="666666"/>
          <w:sz w:val="18"/>
        </w:rPr>
        <w:t>Chehrazi M et al.  ·  BMJ Paediatr Open  ·  19.08.2026  ·  PMID 42618333</w:t>
      </w:r>
    </w:p>
    <w:p>
      <w:r>
        <w:t>Studienprotokoll für Target-Trial-Emulation mit Routinedaten der UK National Neonatal Research Database: Kausaleffekte von vier Probiotika-Entscheidungsdimensionen (Zeitpunkt, Stamm, Substrat, Antibiotikamanagement) bei Frühgeborenen ≤31+6 Wochen.</w:t>
      </w:r>
    </w:p>
    <w:p>
      <w:r>
        <w:rPr>
          <w:b/>
        </w:rPr>
        <w:t xml:space="preserve">Ergebnis: </w:t>
      </w:r>
      <w:r>
        <w:t>Protokoll beschreibt strukturiertes Kausalitätsgerüst für vier Probiotika-Dimensionen und explizite Zeit-Varianz-Berücksichtigung. Primäre Endpunkte: chirurgische Nekrotisierende Enterokolitis, Spätinfektionen und Sterblichkeit. Parametrische g-Formeln werden zur Confounder-Kontrolle verwendet; Ergebnisse sollen Designentwicklung randomisierter Versuche informieren.</w:t>
      </w:r>
    </w:p>
    <w:p>
      <w:r>
        <w:rPr>
          <w:b/>
          <w:sz w:val="19"/>
        </w:rPr>
        <w:t xml:space="preserve">Übertragbarkeit: </w:t>
      </w:r>
      <w:r>
        <w:rPr>
          <w:sz w:val="19"/>
        </w:rPr>
        <w:t>UK-Datenbank, vergleichbar mit deutschen Neonatologiedatensammlungen</w:t>
      </w:r>
    </w:p>
    <w:p>
      <w:r>
        <w:rPr>
          <w:color w:val="5A7D3A"/>
          <w:sz w:val="18"/>
        </w:rPr>
        <w:t>https://pubmed.ncbi.nlm.nih.gov/42618333/</w:t>
      </w:r>
    </w:p>
    <w:p>
      <w:pPr>
        <w:pStyle w:val="Heading2"/>
      </w:pPr>
      <w:r>
        <w:t>Phosphatidylcholin-Störungen bei kritischer Krankheit und Sepsis deuten auf biologische Besonderheit hin</w:t>
      </w:r>
    </w:p>
    <w:p>
      <w:r>
        <w:rPr>
          <w:i/>
          <w:color w:val="666666"/>
          <w:sz w:val="18"/>
        </w:rPr>
        <w:t>Mester P et al.  ·  Int J Mol Sci  ·  30.07.2026  ·  PMID 42589512</w:t>
      </w:r>
    </w:p>
    <w:p>
      <w:r>
        <w:t>Querschnittstudie mit 160 Intensivpatienten: 21 Plasma-Phosphatidylcholin-Spezies wurden gemessen, davon 15 bei SIRS/Sepsis ohne Zirrhose reduziert, nur PC 32:0 konsistent erhöht.</w:t>
      </w:r>
    </w:p>
    <w:p>
      <w:r>
        <w:rPr>
          <w:b/>
        </w:rPr>
        <w:t xml:space="preserve">Ergebnis: </w:t>
      </w:r>
      <w:r>
        <w:t>Bei SIRS/Sepsis ohne Leberzirrhose zeigten sich 15 PC-Spezies deutlich vermindert (p &lt; 0,05), während PC 32:0 erhöht war. Das Muster persistierte bei kombinierter Leberzirrhose. Keine signifikanten Unterschiede zwischen Überlebenden und Verstorbenen. PC 32:0-Erhöhung war transversgeschnitten konsistent und könnte eigene biologische Rolle spielen.</w:t>
      </w:r>
    </w:p>
    <w:p>
      <w:r>
        <w:rPr>
          <w:b/>
          <w:sz w:val="19"/>
        </w:rPr>
        <w:t xml:space="preserve">Übertragbarkeit: </w:t>
      </w:r>
      <w:r>
        <w:rPr>
          <w:sz w:val="19"/>
        </w:rPr>
        <w:t>Deutschland, diagnostische Markerbewertung ohne operative Folgerung; Datengrundlage unklar</w:t>
      </w:r>
    </w:p>
    <w:p>
      <w:r>
        <w:rPr>
          <w:color w:val="5A7D3A"/>
          <w:sz w:val="18"/>
        </w:rPr>
        <w:t>https://pubmed.ncbi.nlm.nih.gov/42589512/</w:t>
      </w:r>
    </w:p>
    <w:p>
      <w:pPr>
        <w:pStyle w:val="Heading2"/>
      </w:pPr>
      <w:r>
        <w:t>Natürliche Belüftung in Isoliermodulen reduziert Infektionsrisiko für Personal bei 160 L/s Luftwechsel</w:t>
      </w:r>
    </w:p>
    <w:p>
      <w:r>
        <w:rPr>
          <w:i/>
          <w:color w:val="666666"/>
          <w:sz w:val="18"/>
        </w:rPr>
        <w:t>Fontana L et al.  ·  Infect Control Hosp Epidemiol  ·  16.07.2026  ·  PMID 42460458</w:t>
      </w:r>
    </w:p>
    <w:p>
      <w:r>
        <w:t>Experimentelle CFD-Validierung und Simulation für tragbare Infektionsbehandlungsmodule (IDTM): Windgestützte natürliche Belüftung unter Variation von Windgeschwindigkeit (1–4 m/s) und Konfiguration; Infektionsrisiko mittels Wells-Riley-Modell für sieben Atemwegskeime quantifiziert.</w:t>
      </w:r>
    </w:p>
    <w:p>
      <w:r>
        <w:rPr>
          <w:b/>
        </w:rPr>
        <w:t xml:space="preserve">Ergebnis: </w:t>
      </w:r>
      <w:r>
        <w:t>Luftstrom variierte von 7 L/s (optimales Zugriffsmodul mit Windschutz + Moskitonetz bei 1 m/s) bis &gt;3100 L/s (ohne Netze bei 4 m/s). Bei 160 L/s Luftwechsel reduzierte sich Kurzzeit-Infektionsrisiko für Fachpersonal auf ≤1 % für alle Keime, Langzeit-Koexposition bei hohem Emissions-Erreger blieb jedoch risikobehaftet. Entfernung der Fenster-Netze war Wirksamste Massnahme; Hybrid-Belüftung nötig bei niedriger Windgeschwindigkeit.</w:t>
      </w:r>
    </w:p>
    <w:p>
      <w:r>
        <w:rPr>
          <w:b/>
          <w:sz w:val="19"/>
        </w:rPr>
        <w:t xml:space="preserve">Übertragbarkeit: </w:t>
      </w:r>
      <w:r>
        <w:rPr>
          <w:sz w:val="19"/>
        </w:rPr>
        <w:t>Schweiz/Österreich, modulare Isolierinfrastruktur; Ergebnis ist auf Notfallkapazität übertragbar</w:t>
      </w:r>
    </w:p>
    <w:p>
      <w:r>
        <w:rPr>
          <w:color w:val="5A7D3A"/>
          <w:sz w:val="18"/>
        </w:rPr>
        <w:t>https://pubmed.ncbi.nlm.nih.gov/42460458/</w:t>
      </w:r>
    </w:p>
    <w:p>
      <w:pPr>
        <w:pStyle w:val="Heading1"/>
      </w:pPr>
      <w:r>
        <w:t>Aufgenommen am 13.09.2026</w:t>
      </w:r>
    </w:p>
    <w:p>
      <w:pPr>
        <w:pStyle w:val="Heading2"/>
      </w:pPr>
      <w:r>
        <w:t>TeamSTEPPS-Workshop verbessert Teamfähigkeit und Kommunikationswissen bei Studierenden</w:t>
      </w:r>
    </w:p>
    <w:p>
      <w:r>
        <w:rPr>
          <w:i/>
          <w:color w:val="666666"/>
          <w:sz w:val="18"/>
        </w:rPr>
        <w:t>Yin Y et al.  ·  Nurs Open  ·  Sept. 2026  ·  PMID 42728718</w:t>
      </w:r>
    </w:p>
    <w:p>
      <w:r>
        <w:t>Evaluierung eines 4-stündigen TeamSTEPPS-Workshops mit Szenarien und Simulation für Studierende des dritten Jahres zur Verbesserung von Teamfähigkeit und Kommunikation im Versorgungskontext.</w:t>
      </w:r>
    </w:p>
    <w:p>
      <w:r>
        <w:rPr>
          <w:b/>
        </w:rPr>
        <w:t xml:space="preserve">Ergebnis: </w:t>
      </w:r>
      <w:r>
        <w:t>Gesamtscore der Chinese TeamSTEPPS Teamwork Perceptions Questionnaire stieg von 149,06±15,18 auf 159,45±16,28 (signifikant); Wissensprüfung stieg von 80,14±18,29 auf 87,33±8,43; Verbesserungen in Teamstruktur, Führung, Situationsbewusstsein und gegenseitiger Unterstützung.</w:t>
      </w:r>
    </w:p>
    <w:p>
      <w:r>
        <w:rPr>
          <w:b/>
          <w:sz w:val="19"/>
        </w:rPr>
        <w:t xml:space="preserve">Übertragbarkeit: </w:t>
      </w:r>
      <w:r>
        <w:rPr>
          <w:sz w:val="19"/>
        </w:rPr>
        <w:t>China, aber Transfer zu Deutschland durch standardisierte Simulation und etablierte Teamwork-Tools.</w:t>
      </w:r>
    </w:p>
    <w:p>
      <w:r>
        <w:rPr>
          <w:color w:val="5A7D3A"/>
          <w:sz w:val="18"/>
        </w:rPr>
        <w:t>https://pubmed.ncbi.nlm.nih.gov/42728718/</w:t>
      </w:r>
    </w:p>
    <w:p>
      <w:pPr>
        <w:pStyle w:val="Heading2"/>
      </w:pPr>
      <w:r>
        <w:t>Vasopressoranwendung bei Sepsis in Uganda und Ruanda: Prädiktoren für deren Einsatz</w:t>
      </w:r>
    </w:p>
    <w:p>
      <w:r>
        <w:rPr>
          <w:i/>
          <w:color w:val="666666"/>
          <w:sz w:val="18"/>
        </w:rPr>
        <w:t>Girard WS et al.  ·  Crit Care Explor  ·  01.09.2026  ·  PMID 42726203</w:t>
      </w:r>
    </w:p>
    <w:p>
      <w:r>
        <w:t>Retrospektive Kohortenstudie zu Vasopressoranwendung bei sepsierten Patienten in zwei Hochseuchenlastkliniken Ostafrikas mit Analyse der Behandlungsmuster.</w:t>
      </w:r>
    </w:p>
    <w:p>
      <w:r>
        <w:rPr>
          <w:b/>
        </w:rPr>
        <w:t xml:space="preserve">Ergebnis: </w:t>
      </w:r>
      <w:r>
        <w:t>Von 471 Septikämie-Patienten erhielten 24% (n=113) Vasopressoren; erhöhte UVA-Mortalitätsrisikoscores waren der stärkste Prädiktor für Vasopressoranwendung (adjustiertes OR 1,25; 95%-KI 1,14-1,27; p&lt;0,001); Sterblichkeit lag bei 30% (n=139).</w:t>
      </w:r>
    </w:p>
    <w:p>
      <w:r>
        <w:rPr>
          <w:b/>
          <w:sz w:val="19"/>
        </w:rPr>
        <w:t xml:space="preserve">Übertragbarkeit: </w:t>
      </w:r>
      <w:r>
        <w:rPr>
          <w:sz w:val="19"/>
        </w:rPr>
        <w:t>Uganda/Ruanda - Limitierte Ressourcen, aber Sepsismanagement relevant für alle Kontexte.</w:t>
      </w:r>
    </w:p>
    <w:p>
      <w:r>
        <w:rPr>
          <w:color w:val="5A7D3A"/>
          <w:sz w:val="18"/>
        </w:rPr>
        <w:t>https://pubmed.ncbi.nlm.nih.gov/42726203/</w:t>
      </w:r>
    </w:p>
    <w:p>
      <w:pPr>
        <w:pStyle w:val="Heading2"/>
      </w:pPr>
      <w:r>
        <w:t>Cefiderocol-Resistenztrends bei carbapenemresistenter Klebsiella pneumoniae vor klinischer Einführung</w:t>
      </w:r>
    </w:p>
    <w:p>
      <w:r>
        <w:rPr>
          <w:i/>
          <w:color w:val="666666"/>
          <w:sz w:val="18"/>
        </w:rPr>
        <w:t>Wang M et al.  ·  Front Cell Infect Microbiol  ·  27.08.2026  ·  PMID 42723943</w:t>
      </w:r>
    </w:p>
    <w:p>
      <w:r>
        <w:t>Retrospektive Analyse von 83 carbapenemresistenten K.-pneumoniae-Isolaten aus Blutkultur-Episoden eines chinesischen Tertiärkrankenhauses mit Cefiderocol-MIC-Bestimmung und genomischer Charakterisierung.</w:t>
      </w:r>
    </w:p>
    <w:p>
      <w:r>
        <w:rPr>
          <w:b/>
        </w:rPr>
        <w:t xml:space="preserve">Ergebnis: </w:t>
      </w:r>
      <w:r>
        <w:t>83,1% der Isolate waren nach CLSI-Kriterien Cefiderocol-empfindlich; MIC50 4 mg/L, MIC90 8 mg/L; 41% erfüllten Reduziertempfindlichkeitskriterien; ST11-Klone mit KL47/KL64 zeigten höhere MICs; bla_NDM-1 und Virulenzplasmide waren mit reduzierter Empfindlichkeit assoziiert.</w:t>
      </w:r>
    </w:p>
    <w:p>
      <w:r>
        <w:rPr>
          <w:b/>
          <w:sz w:val="19"/>
        </w:rPr>
        <w:t xml:space="preserve">Übertragbarkeit: </w:t>
      </w:r>
      <w:r>
        <w:rPr>
          <w:sz w:val="19"/>
        </w:rPr>
        <w:t>China, aber Resistenzmuster und Baseline vor Arzneimittelexposition international relevant.</w:t>
      </w:r>
    </w:p>
    <w:p>
      <w:r>
        <w:rPr>
          <w:color w:val="5A7D3A"/>
          <w:sz w:val="18"/>
        </w:rPr>
        <w:t>https://pubmed.ncbi.nlm.nih.gov/42723943/</w:t>
      </w:r>
    </w:p>
    <w:p>
      <w:pPr>
        <w:pStyle w:val="Heading2"/>
      </w:pPr>
      <w:r>
        <w:t>Schnelle Diagnostik von Blutkultur-Infektionen spart Leben und Kosten</w:t>
      </w:r>
    </w:p>
    <w:p>
      <w:r>
        <w:rPr>
          <w:i/>
          <w:color w:val="666666"/>
          <w:sz w:val="18"/>
        </w:rPr>
        <w:t>Karichu JK et al.  ·  J Med Econ  ·  10.09.2026  ·  PMID 42720132</w:t>
      </w:r>
    </w:p>
    <w:p>
      <w:r>
        <w:t>Budget-Impact-Analyse für England und USA zur Vorhersage der Kosteneffektivität von molekularen Schnelltests zur Pathogenerkennung bei Septikämien von 2025–2029.</w:t>
      </w:r>
    </w:p>
    <w:p>
      <w:r>
        <w:rPr>
          <w:b/>
        </w:rPr>
        <w:t xml:space="preserve">Ergebnis: </w:t>
      </w:r>
      <w:r>
        <w:t>In England 927000 BSI-Fälle vorhergesagt; Einsatz von Cobas Eplex BCID würde 1864 Leben retten und über £40 Millionen einsparen; in den USA 6882 Leben gerettet und über $450 Millionen Ersparnis; schnellere Pathogenidentifikation ermöglicht frühere Therapieoptimierung.</w:t>
      </w:r>
    </w:p>
    <w:p>
      <w:r>
        <w:rPr>
          <w:b/>
          <w:sz w:val="19"/>
        </w:rPr>
        <w:t xml:space="preserve">Übertragbarkeit: </w:t>
      </w:r>
      <w:r>
        <w:rPr>
          <w:sz w:val="19"/>
        </w:rPr>
        <w:t>England und USA, aber Technologie und Kostenperspektive relevant für deutsche Gesundheitssysteme.</w:t>
      </w:r>
    </w:p>
    <w:p>
      <w:r>
        <w:rPr>
          <w:color w:val="5A7D3A"/>
          <w:sz w:val="18"/>
        </w:rPr>
        <w:t>https://pubmed.ncbi.nlm.nih.gov/42720132/</w:t>
      </w:r>
    </w:p>
    <w:p>
      <w:pPr>
        <w:pStyle w:val="Heading2"/>
      </w:pPr>
      <w:r>
        <w:t>Hochgradige Transaminasenerhöhung ohne Hyperbilirubinämie: Unterschätzte Mortalitätsprognose</w:t>
      </w:r>
    </w:p>
    <w:p>
      <w:r>
        <w:rPr>
          <w:i/>
          <w:color w:val="666666"/>
          <w:sz w:val="18"/>
        </w:rPr>
        <w:t>Chalasani N et al.  ·  Clin Pharmacol Ther  ·  25.07.2026  ·  PMID 42502235</w:t>
      </w:r>
    </w:p>
    <w:p>
      <w:r>
        <w:t>Analyse von zwei Registern (DILIN und spanisches DILI-Register) mit insgesamt 964 Patienten zur prognostischen Bedeutung sehr hoher Transaminasen bei niedrig-normalem Bilirubin für druginduzierten Leberschaden.</w:t>
      </w:r>
    </w:p>
    <w:p>
      <w:r>
        <w:rPr>
          <w:b/>
        </w:rPr>
        <w:t xml:space="preserve">Ergebnis: </w:t>
      </w:r>
      <w:r>
        <w:t>Bei sehr hohem ALT und normalem Bilirubin entwickelten nur 1,3% die nR-basierte Hy's Law; minimale Bilirubinerhöhung erhöhte Risiko markant (OR 7,8); besonders hohe Transaminasen (&gt;1000 U/L) mit minimalen Bilirubinwerten hatten höchstes Risiko (OR 23,6).</w:t>
      </w:r>
    </w:p>
    <w:p>
      <w:r>
        <w:rPr>
          <w:b/>
          <w:sz w:val="19"/>
        </w:rPr>
        <w:t xml:space="preserve">Übertragbarkeit: </w:t>
      </w:r>
      <w:r>
        <w:rPr>
          <w:sz w:val="19"/>
        </w:rPr>
        <w:t>USA/Spanien, aber Befunde zur Prognoseeinschätzung unabhängig von Haftungskontext.</w:t>
      </w:r>
    </w:p>
    <w:p>
      <w:r>
        <w:rPr>
          <w:color w:val="5A7D3A"/>
          <w:sz w:val="18"/>
        </w:rPr>
        <w:t>https://pubmed.ncbi.nlm.nih.gov/42502235/</w:t>
      </w:r>
    </w:p>
    <w:p>
      <w:pPr>
        <w:pStyle w:val="Heading2"/>
      </w:pPr>
      <w:r>
        <w:t>Unbeabsichtigte Medikamentendiskrepanzen in Übergangsphasen: Überprüfungsfehler als Hauptursache</w:t>
      </w:r>
    </w:p>
    <w:p>
      <w:r>
        <w:rPr>
          <w:i/>
          <w:color w:val="666666"/>
          <w:sz w:val="18"/>
        </w:rPr>
        <w:t>Limmen B et al.  ·  Int J Clin Pharm  ·  18.07.2026  ·  PMID 42470584</w:t>
      </w:r>
    </w:p>
    <w:p>
      <w:r>
        <w:t>Analyse von 992 freiwillig gemeldeten Medikamentenzwischenfällen in Übergangsphasen aus niederländischen Krankenhäusern zur Identifikation der Ursachen von unbeabsichtigten Medikamentendiskrepanzen.</w:t>
      </w:r>
    </w:p>
    <w:p>
      <w:r>
        <w:rPr>
          <w:b/>
        </w:rPr>
        <w:t xml:space="preserve">Ergebnis: </w:t>
      </w:r>
      <w:r>
        <w:t>94% der Zwischenfälle waren menschliche Fehler, davon 49,6% Überprüfungsfehler und 24,8% Interventionsfehler; 74,1% erreichten den Patienten; Omissionen waren die häufigsten Diskrepanztypen (36,2%); kardiovaskuläre Medikamente am häufigsten betroffen (24,9%).</w:t>
      </w:r>
    </w:p>
    <w:p>
      <w:r>
        <w:rPr>
          <w:b/>
          <w:sz w:val="19"/>
        </w:rPr>
        <w:t xml:space="preserve">Übertragbarkeit: </w:t>
      </w:r>
      <w:r>
        <w:rPr>
          <w:sz w:val="19"/>
        </w:rPr>
        <w:t>Niederlande, vergleichbares Versicherungssystem und Dokumentationspflichten.</w:t>
      </w:r>
    </w:p>
    <w:p>
      <w:r>
        <w:rPr>
          <w:color w:val="5A7D3A"/>
          <w:sz w:val="18"/>
        </w:rPr>
        <w:t>https://pubmed.ncbi.nlm.nih.gov/42470584/</w:t>
      </w:r>
    </w:p>
    <w:p>
      <w:pPr>
        <w:pStyle w:val="Heading1"/>
      </w:pPr>
      <w:r>
        <w:t>Aufgenommen am 12.09.2026</w:t>
      </w:r>
    </w:p>
    <w:p>
      <w:pPr>
        <w:pStyle w:val="Heading2"/>
      </w:pPr>
      <w:r>
        <w:t>Ungeeignete Arzneimittelkaskaden in älteren Erwachsenen: Priorisierung nach Epidemiologie und Assoziationsstärke</w:t>
      </w:r>
    </w:p>
    <w:p>
      <w:r>
        <w:rPr>
          <w:i/>
          <w:color w:val="666666"/>
          <w:sz w:val="18"/>
        </w:rPr>
        <w:t>Rochon PA et al.  ·  BMJ  ·  10.09.2026  ·  PMID 42727946</w:t>
      </w:r>
    </w:p>
    <w:p>
      <w:r>
        <w:t>Bevölkerungsbasierte Analyse administrativer Daten zur Identifikation potenziell unerwünschter Verschreibungskaskaden in der älteren kanadischen Bevölkerung mit systematischer Priorisierung.</w:t>
      </w:r>
    </w:p>
    <w:p>
      <w:r>
        <w:rPr>
          <w:b/>
        </w:rPr>
        <w:t xml:space="preserve">Ergebnis: </w:t>
      </w:r>
      <w:r>
        <w:t>24 von 65 untersuchten Kaskaden erfüllten Priorisierungskriterien (Prävalenz ≥5%, Inzidenz ≥1%, angepasste Sequenzratio &gt;1). Höchste Inzidenzen: Eisen-zu-Laxans 11,9%, Statine-zu-Schmerzmittel 10,9%, Cholinesterase-Inhibitor-zu-Schlafmittel 10,3%. Stärkste zeitliche Assoziationen: Kortikosteroid-zu-Antipsychotika RR 2,55, Laxans-zu-Antidiarrhöika RR 2,53.</w:t>
      </w:r>
    </w:p>
    <w:p>
      <w:r>
        <w:rPr>
          <w:b/>
          <w:sz w:val="19"/>
        </w:rPr>
        <w:t xml:space="preserve">Übertragbarkeit: </w:t>
      </w:r>
      <w:r>
        <w:rPr>
          <w:sz w:val="19"/>
        </w:rPr>
        <w:t>Kanada, vergleichbarer Versicherungskontext, Deprescribing-Ansätze übertragbar</w:t>
      </w:r>
    </w:p>
    <w:p>
      <w:r>
        <w:rPr>
          <w:color w:val="5A7D3A"/>
          <w:sz w:val="18"/>
        </w:rPr>
        <w:t>https://pubmed.ncbi.nlm.nih.gov/42727946/</w:t>
      </w:r>
    </w:p>
    <w:p>
      <w:pPr>
        <w:pStyle w:val="Heading2"/>
      </w:pPr>
      <w:r>
        <w:t>Chirurgische Wundinfektionen in Frankreich: Systemische Analyse von Häufigkeit, Kosten und Wiederaufnahmen</w:t>
      </w:r>
    </w:p>
    <w:p>
      <w:r>
        <w:rPr>
          <w:i/>
          <w:color w:val="666666"/>
          <w:sz w:val="18"/>
        </w:rPr>
        <w:t>Aragno VA et al.  ·  Inquiry  ·  11.09.2026  ·  PMID 42727077</w:t>
      </w:r>
    </w:p>
    <w:p>
      <w:r>
        <w:t>Retrospektive Analyse der französischen Krankenversicherungsdatenbank zu Häufigkeit und Kostenfolgen von Wundkomplikationen nach elektiven Operationen in vier Fachgebieten.</w:t>
      </w:r>
    </w:p>
    <w:p>
      <w:r>
        <w:rPr>
          <w:b/>
        </w:rPr>
        <w:t xml:space="preserve">Ergebnis: </w:t>
      </w:r>
      <w:r>
        <w:t>Infektionsraten (SSI) ranged 0.44 % (orthopädisch) to 3.09 % (Magen-Darm); Herzchirurgie zeigte höchste Komplikationsrate 14,91 %. Wundkomplikationen führten zu 11–28 zusätzlichen Hospitalisierungstagen und 6.622–22.109 Euro Mehrkosten pro Fall; Wiederaufnahmen insgesamt 840 Mio. Euro Belastung pro Jahr. Vergleichbare administrative Datenqualität zu Deutschland.</w:t>
      </w:r>
    </w:p>
    <w:p>
      <w:r>
        <w:rPr>
          <w:b/>
          <w:sz w:val="19"/>
        </w:rPr>
        <w:t xml:space="preserve">Übertragbarkeit: </w:t>
      </w:r>
      <w:r>
        <w:rPr>
          <w:sz w:val="19"/>
        </w:rPr>
        <w:t>Frankreich, vergleichbare Sozialversicherung, PMSI-Datensatz ähnlich Fallpauschalensystem</w:t>
      </w:r>
    </w:p>
    <w:p>
      <w:r>
        <w:rPr>
          <w:color w:val="5A7D3A"/>
          <w:sz w:val="18"/>
        </w:rPr>
        <w:t>https://pubmed.ncbi.nlm.nih.gov/42727077/</w:t>
      </w:r>
    </w:p>
    <w:p>
      <w:pPr>
        <w:pStyle w:val="Heading2"/>
      </w:pPr>
      <w:r>
        <w:t>Multiresistente Blutstrominfektion bei Kindern mit Hochrisiko-Leukämie: Levofloxacin-Prophylaxe und Resistenzentwicklung</w:t>
      </w:r>
    </w:p>
    <w:p>
      <w:r>
        <w:rPr>
          <w:i/>
          <w:color w:val="666666"/>
          <w:sz w:val="18"/>
        </w:rPr>
        <w:t>Alsabagh M et al.  ·  Pol Merkur Lekarski  ·  2026  ·  PMID 42726826</w:t>
      </w:r>
    </w:p>
    <w:p>
      <w:r>
        <w:t>Retrospektive Kohortenstudie zum Vergleich von multiresistenter Kolonisation und Blutstrominfektion bei intensiv chemotherapierten Kindern mit und ohne Fluorchinolon-Prophylaxe.</w:t>
      </w:r>
    </w:p>
    <w:p>
      <w:r>
        <w:rPr>
          <w:b/>
        </w:rPr>
        <w:t xml:space="preserve">Ergebnis: </w:t>
      </w:r>
      <w:r>
        <w:t>82 Kinder (67,1% männlich), medianes Alter 10 Jahre. Febrile Neutropenie in 89,3% der Zyklen. Fluorchinolon-Empfindlichkeit niedrig: 16% bei rektalen und 11,8% bei Blutkultur-Isolaten, abnehmend über Zyklen. Mortalität assoziiert mit multiresistenter Klebsiella pneumoniae und Fluorchinolon-Resistenz. Routine-Levofloxacin-Prophylaxe bietet begrenzte Vorteile.</w:t>
      </w:r>
    </w:p>
    <w:p>
      <w:r>
        <w:rPr>
          <w:b/>
          <w:sz w:val="19"/>
        </w:rPr>
        <w:t xml:space="preserve">Übertragbarkeit: </w:t>
      </w:r>
      <w:r>
        <w:rPr>
          <w:sz w:val="19"/>
        </w:rPr>
        <w:t>Ägypten, Antibiotic-Stewardship-Problem international relevant</w:t>
      </w:r>
    </w:p>
    <w:p>
      <w:r>
        <w:rPr>
          <w:color w:val="5A7D3A"/>
          <w:sz w:val="18"/>
        </w:rPr>
        <w:t>https://pubmed.ncbi.nlm.nih.gov/42726826/</w:t>
      </w:r>
    </w:p>
    <w:p>
      <w:pPr>
        <w:pStyle w:val="Heading2"/>
      </w:pPr>
      <w:r>
        <w:t>Multizentrischer Ausbruch durch Candida viswanathii in kontaminiertem Milrinon, Italien 2025</w:t>
      </w:r>
    </w:p>
    <w:p>
      <w:r>
        <w:rPr>
          <w:i/>
          <w:color w:val="666666"/>
          <w:sz w:val="18"/>
        </w:rPr>
        <w:t>Mesini A et al.  ·  Euro Surveill  ·  Sept. 2026  ·  PMID 42725369</w:t>
      </w:r>
    </w:p>
    <w:p>
      <w:r>
        <w:t>Epidemiologische Untersuchung eines Ausbruchs von Blutstrominfektion durch ein seltenes Hefepilz-Medikament-assoziiert nach hypothesengestützter Ermittlung.</w:t>
      </w:r>
    </w:p>
    <w:p>
      <w:r>
        <w:rPr>
          <w:b/>
        </w:rPr>
        <w:t xml:space="preserve">Ergebnis: </w:t>
      </w:r>
      <w:r>
        <w:t>40 Fälle von Kandidämie in vier italienischen Zentren, April–Oktober 2025, alle durch kontaminiertes Milrinon verursacht. Starke geografische Assoziation mit indischem Subkontinent führte zur Identifikation des Infektionsöls. Sofortige Maßnahmen: Produktrückzug, Benachrichtigung der Behörden, aktive mikrobiologische Überwachung exponierter Patienten.</w:t>
      </w:r>
    </w:p>
    <w:p>
      <w:r>
        <w:rPr>
          <w:b/>
          <w:sz w:val="19"/>
        </w:rPr>
        <w:t xml:space="preserve">Übertragbarkeit: </w:t>
      </w:r>
      <w:r>
        <w:rPr>
          <w:sz w:val="19"/>
        </w:rPr>
        <w:t>Europa-Italien, klinische Ausbruchserkennung und Pharmakovigilanz übertragbar</w:t>
      </w:r>
    </w:p>
    <w:p>
      <w:r>
        <w:rPr>
          <w:color w:val="5A7D3A"/>
          <w:sz w:val="18"/>
        </w:rPr>
        <w:t>https://pubmed.ncbi.nlm.nih.gov/42725369/</w:t>
      </w:r>
    </w:p>
    <w:p>
      <w:pPr>
        <w:pStyle w:val="Heading2"/>
      </w:pPr>
      <w:r>
        <w:t>Aufbereitung chirurgischer Instrumente in Katastrophenfällen: Barrieren, Lücken und Handlungsoptionen</w:t>
      </w:r>
    </w:p>
    <w:p>
      <w:r>
        <w:rPr>
          <w:i/>
          <w:color w:val="666666"/>
          <w:sz w:val="18"/>
        </w:rPr>
        <w:t>Nematollahi MS et al.  ·  Antimicrob Resist Infect Control  ·  28.08.2026  ·  PMID 42723127</w:t>
      </w:r>
    </w:p>
    <w:p>
      <w:r>
        <w:t>Systematischer Review zu Vulnerabilitäten, Barrieren und adaptiven Strategien bei der Sterilisation wiederverwendbarer Instrumente während Infektionsausbrüchen und Katastrophen.</w:t>
      </w:r>
    </w:p>
    <w:p>
      <w:r>
        <w:rPr>
          <w:b/>
        </w:rPr>
        <w:t xml:space="preserve">Ergebnis: </w:t>
      </w:r>
      <w:r>
        <w:t>11 Studien aus neun Ländern. Wiederkehrende Barrieren: unvollständige Reinigung, mangelhafte Lumen-Dekontamination, Geräteausfälle, kontaminierte Wasser-/Spülsysteme, begrenzte Notfallvorbereitung, Personalengpässe, fehlende Instrumentenverfolgung. Adaptive Strategien: standardisierte Reinigungsprotokolle, Umgebungsüberwachung, Schulung, mobile/Container-Sterilisationskapazität, Notfall-Aufbereitungskonzepte. Herausforderungen sind operational-infrastrukturell, nicht isoliert technisch.</w:t>
      </w:r>
    </w:p>
    <w:p>
      <w:r>
        <w:rPr>
          <w:b/>
          <w:sz w:val="19"/>
        </w:rPr>
        <w:t xml:space="preserve">Übertragbarkeit: </w:t>
      </w:r>
      <w:r>
        <w:rPr>
          <w:sz w:val="19"/>
        </w:rPr>
        <w:t>Internationale Evidenz aus Ausbruchsuntersuchungen, auf Deutschland übertragbar</w:t>
      </w:r>
    </w:p>
    <w:p>
      <w:r>
        <w:rPr>
          <w:color w:val="5A7D3A"/>
          <w:sz w:val="18"/>
        </w:rPr>
        <w:t>https://pubmed.ncbi.nlm.nih.gov/42723127/</w:t>
      </w:r>
    </w:p>
    <w:p>
      <w:pPr>
        <w:pStyle w:val="Heading2"/>
      </w:pPr>
      <w:r>
        <w:t>CXCL10-Genotyp rs8878 und T-Zell-Erhalt im Sepsis-Verlauf: Biomarker für Risikostratifizierung</w:t>
      </w:r>
    </w:p>
    <w:p>
      <w:r>
        <w:rPr>
          <w:i/>
          <w:color w:val="666666"/>
          <w:sz w:val="18"/>
        </w:rPr>
        <w:t>Dyck B et al.  ·  Front Immunol  ·  17.07.2026  ·  PMID 42540005</w:t>
      </w:r>
    </w:p>
    <w:p>
      <w:r>
        <w:t>Prospektive Kohortenstudie zu Assoziation des CXCL10-Genotyps mit T-Lymphozyten-Homöostase und 30-Tage-Mortalität bei Sepsis-Patienten in Deutschland.</w:t>
      </w:r>
    </w:p>
    <w:p>
      <w:r>
        <w:rPr>
          <w:b/>
        </w:rPr>
        <w:t xml:space="preserve">Ergebnis: </w:t>
      </w:r>
      <w:r>
        <w:t>278 sepsis-Patienten untersucht. AA-Genotyp-Träger hatten höhere zirkulierende T-Zell-Zahlen und verbesserte Überlebenschancen vs. G-Allel-Träger. Höhere Gesamt- und CD8+-T-Zell-Zahlen signifikant mit verbessertem Überleben assoziiert. CXCL10-Konzentrationen Tag 1 positiv mit IL-6, IL-8, IL-10, IL-18, MCP-1, IFN-γ korreliert, invers mit T-Zell-Zahlen. AA-Genotyp prädiktiv für bessere 30-Tage-Überlebenschance.</w:t>
      </w:r>
    </w:p>
    <w:p>
      <w:r>
        <w:rPr>
          <w:b/>
          <w:sz w:val="19"/>
        </w:rPr>
        <w:t xml:space="preserve">Übertragbarkeit: </w:t>
      </w:r>
      <w:r>
        <w:rPr>
          <w:sz w:val="19"/>
        </w:rPr>
        <w:t>Deutschland, Ruhr-Universität Bochum, direkt auf deutsches Patientenkollektiv anwendbar</w:t>
      </w:r>
    </w:p>
    <w:p>
      <w:r>
        <w:rPr>
          <w:color w:val="5A7D3A"/>
          <w:sz w:val="18"/>
        </w:rPr>
        <w:t>https://pubmed.ncbi.nlm.nih.gov/42540005/</w:t>
      </w:r>
    </w:p>
    <w:p>
      <w:pPr>
        <w:pStyle w:val="Heading1"/>
      </w:pPr>
      <w:r>
        <w:t>Aufgenommen am 11.09.2026</w:t>
      </w:r>
    </w:p>
    <w:p>
      <w:pPr>
        <w:pStyle w:val="Heading2"/>
      </w:pPr>
      <w:r>
        <w:t>Rapid diagnostik senkt Zeitspanne bei Gram-negativer Sepsis um 14-19 Stunden</w:t>
      </w:r>
    </w:p>
    <w:p>
      <w:r>
        <w:rPr>
          <w:i/>
          <w:color w:val="666666"/>
          <w:sz w:val="18"/>
        </w:rPr>
        <w:t>Benyahia M et al.  ·  PLoS One  ·  10.09.2026  ·  PMID 42721154</w:t>
      </w:r>
    </w:p>
    <w:p>
      <w:r>
        <w:t>Prospektive Studie zur Beschleunigung der Diagnostik bei Gram-negativen Blutstrominfektionen auf Intensivstationen mit molekularen und schnellen Empfindlichkeitsmethoden.</w:t>
      </w:r>
    </w:p>
    <w:p>
      <w:r>
        <w:rPr>
          <w:b/>
        </w:rPr>
        <w:t xml:space="preserve">Ergebnis: </w:t>
      </w:r>
      <w:r>
        <w:t>BioFire BCID2 und Vitek REVEAL reduzierten die Identifikationszeit um 19,0 Stunden und die Empfindlichkeitstestung um 14,9 Stunden bei 50 ICU-Patienten mit Monomikrobium-Infektionen; kategoriale Übereinstimmung mit Standardmethoden 97,7%.</w:t>
      </w:r>
    </w:p>
    <w:p>
      <w:r>
        <w:rPr>
          <w:b/>
          <w:sz w:val="19"/>
        </w:rPr>
        <w:t xml:space="preserve">Übertragbarkeit: </w:t>
      </w:r>
      <w:r>
        <w:rPr>
          <w:sz w:val="19"/>
        </w:rPr>
        <w:t>Frankreich, vergleichbares Dokumentationssystem in der Intensivmedizin</w:t>
      </w:r>
    </w:p>
    <w:p>
      <w:r>
        <w:rPr>
          <w:color w:val="5A7D3A"/>
          <w:sz w:val="18"/>
        </w:rPr>
        <w:t>https://pubmed.ncbi.nlm.nih.gov/42721154/</w:t>
      </w:r>
    </w:p>
    <w:p>
      <w:pPr>
        <w:pStyle w:val="Heading2"/>
      </w:pPr>
      <w:r>
        <w:t>Albuminmangel nach E.-coli-Sepsis erhöht Sterblichkeit um 10-fach bei Kindern</w:t>
      </w:r>
    </w:p>
    <w:p>
      <w:r>
        <w:rPr>
          <w:i/>
          <w:color w:val="666666"/>
          <w:sz w:val="18"/>
        </w:rPr>
        <w:t>Cheng J et al.  ·  Ann Med  ·  10.09.2026  ·  PMID 42720514</w:t>
      </w:r>
    </w:p>
    <w:p>
      <w:r>
        <w:t>Retrospektive Kohortenstudie zu Prädiktoren der Krankenhaus-Sterblichkeit bei Kindern mit E.-coli-Blutstrominfektionen, fokussiert auf post-infektiven Albuminmangel.</w:t>
      </w:r>
    </w:p>
    <w:p>
      <w:r>
        <w:rPr>
          <w:b/>
        </w:rPr>
        <w:t xml:space="preserve">Ergebnis: </w:t>
      </w:r>
      <w:r>
        <w:t>Bei 211 Kindern mit E.-coli-Sepsis betrug die Sterblichkeit 12,32%; sekundärer Albuminmangel war nach Kontrolle für Beatmung, PRISM-Score und Zeit bis Nachweis mit Odds Ratio 10,59 (95% KI 1,39-80,91; p&lt;0,05) unabhängig mit Mortalität assoziiert.</w:t>
      </w:r>
    </w:p>
    <w:p>
      <w:r>
        <w:rPr>
          <w:b/>
          <w:sz w:val="19"/>
        </w:rPr>
        <w:t xml:space="preserve">Übertragbarkeit: </w:t>
      </w:r>
      <w:r>
        <w:rPr>
          <w:sz w:val="19"/>
        </w:rPr>
        <w:t>China, außereuropäisch; Struktur der Risikostratifizierung übertragbar</w:t>
      </w:r>
    </w:p>
    <w:p>
      <w:r>
        <w:rPr>
          <w:color w:val="5A7D3A"/>
          <w:sz w:val="18"/>
        </w:rPr>
        <w:t>https://pubmed.ncbi.nlm.nih.gov/42720514/</w:t>
      </w:r>
    </w:p>
    <w:p>
      <w:pPr>
        <w:pStyle w:val="Heading2"/>
      </w:pPr>
      <w:r>
        <w:t>Klinische Antibiotikatiming bei Sepsis folgt Zwei-Achsen-Muster</w:t>
      </w:r>
    </w:p>
    <w:p>
      <w:r>
        <w:rPr>
          <w:i/>
          <w:color w:val="666666"/>
          <w:sz w:val="18"/>
        </w:rPr>
        <w:t>Currey D et al.  ·  Crit Care Explor  ·  01.09.2026  ·  PMID 42720074</w:t>
      </w:r>
    </w:p>
    <w:p>
      <w:r>
        <w:t>Retrospektive Observationsstudie mit maschinellem Lernen zur Validierung eines Dual-Achsen-Modells für Antibiotikatiming bei Verdacht auf Sepsis in 199.062 Notaufnahmen.</w:t>
      </w:r>
    </w:p>
    <w:p>
      <w:r>
        <w:rPr>
          <w:b/>
        </w:rPr>
        <w:t xml:space="preserve">Ergebnis: </w:t>
      </w:r>
      <w:r>
        <w:t>Bei 115.152 Notaufnahmen validiert: Antibiotikatiming folgt kontinuierlichem Gradienten mit Wahrscheinlichkeit von Infektion und physiologischem Schweregrad (Interaktion p=0,0013); verzögertes Timing über Erwartung hinaus assoziiert mit erhöhter 3-Tage-ICU-Rate oder Sterblichkeit (p&lt;0,001).</w:t>
      </w:r>
    </w:p>
    <w:p>
      <w:r>
        <w:rPr>
          <w:b/>
          <w:sz w:val="19"/>
        </w:rPr>
        <w:t xml:space="preserve">Übertragbarkeit: </w:t>
      </w:r>
      <w:r>
        <w:rPr>
          <w:sz w:val="19"/>
        </w:rPr>
        <w:t>USA, aber Sicherheitsbefund zur Entscheidungsfindung unabhängig von System</w:t>
      </w:r>
    </w:p>
    <w:p>
      <w:r>
        <w:rPr>
          <w:color w:val="5A7D3A"/>
          <w:sz w:val="18"/>
        </w:rPr>
        <w:t>https://pubmed.ncbi.nlm.nih.gov/42720074/</w:t>
      </w:r>
    </w:p>
    <w:p>
      <w:pPr>
        <w:pStyle w:val="Heading2"/>
      </w:pPr>
      <w:r>
        <w:t>Ärztliche Entwertung – systematische Definition eines Sicherheitsrisikos</w:t>
      </w:r>
    </w:p>
    <w:p>
      <w:r>
        <w:rPr>
          <w:i/>
          <w:color w:val="666666"/>
          <w:sz w:val="18"/>
        </w:rPr>
        <w:t>Lerch SP et al.  ·  BMC Health Serv Res  ·  08.09.2026  ·  PMID 42717341</w:t>
      </w:r>
    </w:p>
    <w:p>
      <w:r>
        <w:t>Scoping Review zur Begriffsklärung, Messung, Ursachen und Folgen von ärztlicher Entwertung und medizinischem Gaslighting anhand von 158 wissenschaftlichen Arbeiten.</w:t>
      </w:r>
    </w:p>
    <w:p>
      <w:r>
        <w:rPr>
          <w:b/>
        </w:rPr>
        <w:t xml:space="preserve">Ergebnis: </w:t>
      </w:r>
      <w:r>
        <w:t>Erhebliche Inkonsistenz in Definitionen von Entwertung, Nichternstnehmen und Gaslighting; Phänomen ist multifaktoriell (diagnostische Schwierigkeiten, strukturelle Faktoren, Stigma, Wissenlücken); assoziiert mit Verhaltens-, emotionalen, kognitiven, körperlichen und systemischen Schäden; Validierung und Interventionen auf mehreren Ebenen erforderlich.</w:t>
      </w:r>
    </w:p>
    <w:p>
      <w:r>
        <w:rPr>
          <w:b/>
          <w:sz w:val="19"/>
        </w:rPr>
        <w:t xml:space="preserve">Übertragbarkeit: </w:t>
      </w:r>
      <w:r>
        <w:rPr>
          <w:sz w:val="19"/>
        </w:rPr>
        <w:t>Deutschland (Autorin Greifswald), hohes Transferpotenzial für Patientensicherheitsforschung</w:t>
      </w:r>
    </w:p>
    <w:p>
      <w:r>
        <w:rPr>
          <w:color w:val="5A7D3A"/>
          <w:sz w:val="18"/>
        </w:rPr>
        <w:t>https://pubmed.ncbi.nlm.nih.gov/42717341/</w:t>
      </w:r>
    </w:p>
    <w:p>
      <w:pPr>
        <w:pStyle w:val="Heading2"/>
      </w:pPr>
      <w:r>
        <w:t>Antimikrobielles Stewardship für ältere Sepsis-Patienten – Pfad für Ressourcen-begrenzte Länder</w:t>
      </w:r>
    </w:p>
    <w:p>
      <w:r>
        <w:rPr>
          <w:i/>
          <w:color w:val="666666"/>
          <w:sz w:val="18"/>
        </w:rPr>
        <w:t>Jing L et al.  ·  J Infect Dev Ctries  ·  31.08.2026  ·  PMID 42715272</w:t>
      </w:r>
    </w:p>
    <w:p>
      <w:r>
        <w:t>Retrospektive Kohortenstudie zu Gram-negativer Sepsis bei 122 älteren Patienten in Shanghai mit Ziel, einen kosteneffizienten, lokale Resistenzprofile berücksichtigenden Behandlungspfad zu entwickeln.</w:t>
      </w:r>
    </w:p>
    <w:p>
      <w:r>
        <w:rPr>
          <w:b/>
        </w:rPr>
        <w:t xml:space="preserve">Ergebnis: </w:t>
      </w:r>
      <w:r>
        <w:t>Gram-negative Keime dominierten (54,9%); 28-Tage-Mortalität 37,7%; Cefoperazon-Sulbactam-Empfindlichkeit 85,0%; unabhängige Mortalitätsprädiktoren waren Alter (aOR 1,10 pro Jahr), ICU-Aufnahme (aOR 6,65), Beatmung (aOR 5,78), Dialyse (aOR 3,62); entwickelter Karbapenem-sparender Pfad für Stewardship.</w:t>
      </w:r>
    </w:p>
    <w:p>
      <w:r>
        <w:rPr>
          <w:b/>
          <w:sz w:val="19"/>
        </w:rPr>
        <w:t xml:space="preserve">Übertragbarkeit: </w:t>
      </w:r>
      <w:r>
        <w:rPr>
          <w:sz w:val="19"/>
        </w:rPr>
        <w:t>China, aber Prinzipien zu lokalen Resistenzmustern und Stewardship international übertragbar</w:t>
      </w:r>
    </w:p>
    <w:p>
      <w:r>
        <w:rPr>
          <w:color w:val="5A7D3A"/>
          <w:sz w:val="18"/>
        </w:rPr>
        <w:t>https://pubmed.ncbi.nlm.nih.gov/42715272/</w:t>
      </w:r>
    </w:p>
    <w:p>
      <w:pPr>
        <w:pStyle w:val="Heading2"/>
      </w:pPr>
      <w:r>
        <w:t>Pflegeausfälle führen zu Strafverurteilungen – zehn Urteile analysiert</w:t>
      </w:r>
    </w:p>
    <w:p>
      <w:r>
        <w:rPr>
          <w:i/>
          <w:color w:val="666666"/>
          <w:sz w:val="18"/>
        </w:rPr>
        <w:t>Noacco M et al.  ·  Int J Nurs Stud  ·  24.07.2026  ·  PMID 42526145</w:t>
      </w:r>
    </w:p>
    <w:p>
      <w:r>
        <w:t>Qualitative Dokumentenanalyse von Urteilen des italienischen Obersten Kasationshofes zu Verurteilungen von Pflegepersonen wegen Verwahrlosung oder Verzögerung bei Pflegeleistungen zwischen 2004 und 2022.</w:t>
      </w:r>
    </w:p>
    <w:p>
      <w:r>
        <w:rPr>
          <w:b/>
        </w:rPr>
        <w:t xml:space="preserve">Ergebnis: </w:t>
      </w:r>
      <w:r>
        <w:t>10 Urteile zwischen Dezember 2004 und Oktober 2022; in 8 Fällen trat Patiententod ein, in 2 Fällen Dauerschäden; häufigste Ausfälle waren unzureichende Vitalzeichenüberwachung, postoperative Versorgung, unzureichende Dokumentation, Vernachlässigung von Basispflege; Ausfälle auf Ebenen von Einzelperson, Station und System identifiziert.</w:t>
      </w:r>
    </w:p>
    <w:p>
      <w:r>
        <w:rPr>
          <w:b/>
          <w:sz w:val="19"/>
        </w:rPr>
        <w:t xml:space="preserve">Übertragbarkeit: </w:t>
      </w:r>
      <w:r>
        <w:rPr>
          <w:sz w:val="19"/>
        </w:rPr>
        <w:t>Italien, anderes Haftungssystem ohne Verschuldensnachweis; Faktoren des Versorgungsausfalls sind relevant</w:t>
      </w:r>
    </w:p>
    <w:p>
      <w:r>
        <w:rPr>
          <w:color w:val="5A7D3A"/>
          <w:sz w:val="18"/>
        </w:rPr>
        <w:t>https://pubmed.ncbi.nlm.nih.gov/42526145/</w:t>
      </w:r>
    </w:p>
    <w:p>
      <w:pPr>
        <w:pStyle w:val="Heading1"/>
      </w:pPr>
      <w:r>
        <w:t>Aufgenommen am 10.09.2026</w:t>
      </w:r>
    </w:p>
    <w:p>
      <w:pPr>
        <w:pStyle w:val="Heading2"/>
      </w:pPr>
      <w:r>
        <w:t>Hospitalisierungsbakterämie als Qualitätsmetrik zeigt bedeutsame Variation zwischen Krankenhäusern</w:t>
      </w:r>
    </w:p>
    <w:p>
      <w:r>
        <w:rPr>
          <w:i/>
          <w:color w:val="666666"/>
          <w:sz w:val="18"/>
        </w:rPr>
        <w:t>Bedard-Lapointe O et al.  ·  JAMA Netw Open  ·  01.09.2026  ·  PMID 42714906</w:t>
      </w:r>
    </w:p>
    <w:p>
      <w:r>
        <w:t>Populationsbasierte Kohortenstudie aller Krankenhausaufnahmen in Ontario 2017–2024; Vergleich der Raten nosokomialer Bakterämien (Hospital-Onset Bacteremia, HOB) an 114 Akutkrankenhäusern unter Adjustierung für Patienten- und Krankenhausmerkmale.</w:t>
      </w:r>
    </w:p>
    <w:p>
      <w:r>
        <w:rPr>
          <w:b/>
        </w:rPr>
        <w:t xml:space="preserve">Ergebnis: </w:t>
      </w:r>
      <w:r>
        <w:t>3.325.900 Aufnahmen, 61.452 HOB-Episoden über 29.721.745 Aufnahmetage, Gesamtrate 2,07 pro 1.000 Aufnahmetage. Über 114 Krankenhäuser deutliche Variation: 10. Perzentil 0,39, 25. Perzentil 0,71, Median 1,08, 75. Perzentil 1,68, 90. Perzentil 2,27 pro 1.000 Aufnahmetage. Random-Intercept für Krankenhäuser SD 0,36 (95%-CI 0,29–0,42), Rate-Ratio 1,43 (95%-CI 1,34–1,52) pro 1 SD. HOB-Rate ein zuverlässiger Qualitätsindikator zur Differenzierung zwischen Kliniken.</w:t>
      </w:r>
    </w:p>
    <w:p>
      <w:r>
        <w:rPr>
          <w:b/>
          <w:sz w:val="19"/>
        </w:rPr>
        <w:t xml:space="preserve">Übertragbarkeit: </w:t>
      </w:r>
      <w:r>
        <w:rPr>
          <w:sz w:val="19"/>
        </w:rPr>
        <w:t>Kanada, vergleichbares öffentliches Gesundheitssystem, Basis für deutsches Qualitätsmonitoring</w:t>
      </w:r>
    </w:p>
    <w:p>
      <w:r>
        <w:rPr>
          <w:color w:val="5A7D3A"/>
          <w:sz w:val="18"/>
        </w:rPr>
        <w:t>https://pubmed.ncbi.nlm.nih.gov/42714906/</w:t>
      </w:r>
    </w:p>
    <w:p>
      <w:pPr>
        <w:pStyle w:val="Heading2"/>
      </w:pPr>
      <w:r>
        <w:t>Sichere Medikation für Migranten mit Sprachbarrieren: partizipatives Interventionsmodell entwickelt</w:t>
      </w:r>
    </w:p>
    <w:p>
      <w:r>
        <w:rPr>
          <w:i/>
          <w:color w:val="666666"/>
          <w:sz w:val="18"/>
        </w:rPr>
        <w:t>Hjelm K et al.  ·  BMC Health Serv Res  ·  07.09.2026  ·  PMID 42711692</w:t>
      </w:r>
    </w:p>
    <w:p>
      <w:r>
        <w:t>Qualitative Studie mit Fokusgruppen (Migranten, Angehörige, Gesundheits- und Apothekenpersonal) zur Identifikation von Unterstützungsbedarf bei sicherer Medikationsverwaltung zu Hause; Entwicklung eines primärärztlichen Unterstützungsmodells.</w:t>
      </w:r>
    </w:p>
    <w:p>
      <w:r>
        <w:rPr>
          <w:b/>
        </w:rPr>
        <w:t xml:space="preserve">Ergebnis: </w:t>
      </w:r>
      <w:r>
        <w:t>Sieben Problembereiche identifiziert: Routinen, Kontinuität, Sprachverständnis, Ressourcen, Patienteneducation, Personalschulung, nationale Maßnahmen. Erforderliche Unterstützung auf allen Ebenen – besonders institutionell und infrastrukturell – sowie in alltäglichen Arzt-Patienten-Interaktionen. Interventionsmodell mit erweitertem interdisziplinärem Team, Angehörigen, Apothekern und erreichbarem Koordinator entwickelt.</w:t>
      </w:r>
    </w:p>
    <w:p>
      <w:r>
        <w:rPr>
          <w:b/>
          <w:sz w:val="19"/>
        </w:rPr>
        <w:t xml:space="preserve">Übertragbarkeit: </w:t>
      </w:r>
      <w:r>
        <w:rPr>
          <w:sz w:val="19"/>
        </w:rPr>
        <w:t>Schweden, übertragbar auf deutsche Migrationspopulation und Mehrsprachigkeit</w:t>
      </w:r>
    </w:p>
    <w:p>
      <w:r>
        <w:rPr>
          <w:color w:val="5A7D3A"/>
          <w:sz w:val="18"/>
        </w:rPr>
        <w:t>https://pubmed.ncbi.nlm.nih.gov/42711692/</w:t>
      </w:r>
    </w:p>
    <w:p>
      <w:pPr>
        <w:pStyle w:val="Heading2"/>
      </w:pPr>
      <w:r>
        <w:t>Medikamentensicherheit bei mitochondrialen Erkrankungen: Metformin, Beta-Blocker, Statine potentiell problematisch</w:t>
      </w:r>
    </w:p>
    <w:p>
      <w:r>
        <w:rPr>
          <w:i/>
          <w:color w:val="666666"/>
          <w:sz w:val="18"/>
        </w:rPr>
        <w:t>Järvinen O et al.  ·  Neurol Sci  ·  06.08.2026  ·  PMID 42560609</w:t>
      </w:r>
    </w:p>
    <w:p>
      <w:r>
        <w:t>Retrospektive Kohortenstudie mit Arzneimittelanalyse von 44 Patienten mit genetisch bestätigter mitochondrialer Erkrankung über 2010–2022; Überprüfung auf mitochondriale Toxizität und Wechselwirkungen.</w:t>
      </w:r>
    </w:p>
    <w:p>
      <w:r>
        <w:rPr>
          <w:b/>
        </w:rPr>
        <w:t xml:space="preserve">Ergebnis: </w:t>
      </w:r>
      <w:r>
        <w:t>~1.000 Medikamenteneinträge überprüft. Häufig verwendete Arzneien mit potentieller mitochondrialer Toxizität identifiziert: Metformin, Beta-Blocker, Statine, Ciprofloxacin, Fluoxetin, Ibuprofen, bestimmte Antiepileptika. Kontraindizierte Medikamente nicht beobachtet; keine Hochrisiko-Wechselwirkungen entdeckt. Klinisch relevant: häufige Analgetika-Nutzung. Schlussfolgerung: Weitere Forschung zu mitochondrialer Sicherheit mehrerer Medikamentenklassen erforderlich; Schmerzmanagement bei mitochondrialen Erkrankungen verdient erhöhte Aufmerksamkeit.</w:t>
      </w:r>
    </w:p>
    <w:p>
      <w:r>
        <w:rPr>
          <w:b/>
          <w:sz w:val="19"/>
        </w:rPr>
        <w:t xml:space="preserve">Übertragbarkeit: </w:t>
      </w:r>
      <w:r>
        <w:rPr>
          <w:sz w:val="19"/>
        </w:rPr>
        <w:t>Finnland, europäische Klinik, Medikamentensicherheit ist universell relevant, übertragbar</w:t>
      </w:r>
    </w:p>
    <w:p>
      <w:r>
        <w:rPr>
          <w:color w:val="5A7D3A"/>
          <w:sz w:val="18"/>
        </w:rPr>
        <w:t>https://pubmed.ncbi.nlm.nih.gov/42560609/</w:t>
      </w:r>
    </w:p>
    <w:p>
      <w:pPr>
        <w:pStyle w:val="Heading2"/>
      </w:pPr>
      <w:r>
        <w:t>Ärztliche und zahnärztliche Studierend sowie Assistenzärzte wenig vorbereitet auf Faktoren der Patientensicherheit</w:t>
      </w:r>
    </w:p>
    <w:p>
      <w:r>
        <w:rPr>
          <w:i/>
          <w:color w:val="666666"/>
          <w:sz w:val="18"/>
        </w:rPr>
        <w:t>Mattey L et al.  ·  Br J Oral Maxillofac Surg  ·  07.03.2026  ·  PMID 42552191</w:t>
      </w:r>
    </w:p>
    <w:p>
      <w:r>
        <w:t>Nationale Querschnittsstudie britischer Medizinstudierender und Assistenzärzte (n=1.274) zu Haltung, Wissen und Erfahrung bezüglich Patientensicherheit, Humanfaktoren und medikolegale Folgen von Fehlern; Vergleich mit Teilnehmern eines maßgeschneiderten Workshops.</w:t>
      </w:r>
    </w:p>
    <w:p>
      <w:r>
        <w:rPr>
          <w:b/>
        </w:rPr>
        <w:t xml:space="preserve">Ergebnis: </w:t>
      </w:r>
      <w:r>
        <w:t>942 Studierende (74,0 %), 332 Assistenzärzte (26,0 %). Häufigste Humanfaktoren: Zeitdruck (57,0 %), Müdigkeit (56,2 %), mangelhafte Übergaben (43,8 %). Bereitschaft zum Umgang mit Humanfaktoren (Median 3/5) und Selbstsicherheit zu Einspruch (Median 3/5) bei Absolventen von Regelschulen signifikant niedriger vs. Privatschule (adjustiertes OR 0,70, 95%-CI 0,57–0,87). 62,2 % fehlte rechtliche Orientierung zu Fehlerfolgen; fast Hälfte wusste nicht, wo Unterstützung zu suchen ist. Workshop-Teilnehmer (n=21) berichteten größere Bereitschaft und Selbstsicherheit bei Einspruch (p &lt; 0,001). Trotz häufigem Kontakt mit Sicherheitsfaktoren nur mäßig vorbereitet und unterstützt.</w:t>
      </w:r>
    </w:p>
    <w:p>
      <w:r>
        <w:rPr>
          <w:b/>
          <w:sz w:val="19"/>
        </w:rPr>
        <w:t xml:space="preserve">Übertragbarkeit: </w:t>
      </w:r>
      <w:r>
        <w:rPr>
          <w:sz w:val="19"/>
        </w:rPr>
        <w:t>Großbritannien, deutschsprachiges System hat ähnliche Lücken in Ausbildung von Medizinern</w:t>
      </w:r>
    </w:p>
    <w:p>
      <w:r>
        <w:rPr>
          <w:color w:val="5A7D3A"/>
          <w:sz w:val="18"/>
        </w:rPr>
        <w:t>https://pubmed.ncbi.nlm.nih.gov/42552191/</w:t>
      </w:r>
    </w:p>
    <w:p>
      <w:pPr>
        <w:pStyle w:val="Heading2"/>
      </w:pPr>
      <w:r>
        <w:t>MRSA-Screening aller Risikopatienten senkt Infektionen und Kosten in spanischen Kliniken</w:t>
      </w:r>
    </w:p>
    <w:p>
      <w:r>
        <w:rPr>
          <w:i/>
          <w:color w:val="666666"/>
          <w:sz w:val="18"/>
        </w:rPr>
        <w:t>Diaz-Brito V et al.  ·  J Med Econ  ·  16.07.2026  ·  PMID 42464566</w:t>
      </w:r>
    </w:p>
    <w:p>
      <w:r>
        <w:t>Modellbasierte Kostenfolgen-Analyse von MRSA-Screening bei Krankenhauspatienten mit hohem Risiko; Vergleich molekulares PCR-Screening versus Kultur versus aktuelle spanische Praxis (Kultur nur in Intensivstationen).</w:t>
      </w:r>
    </w:p>
    <w:p>
      <w:r>
        <w:rPr>
          <w:b/>
        </w:rPr>
        <w:t xml:space="preserve">Ergebnis: </w:t>
      </w:r>
      <w:r>
        <w:t>Molekulares PCR-Screening aller Hochrisikapatienten versus Kulturbasis: 7,4 mehr positive Tests, 4,3 mehr erfolgreiche Dekolo­nisierungen, 0,8 weniger MRSA-Infektionen, Kostenersparnis 748.971 € (−438,8 €/getesteter Patient). Versus aktuelle Praxis (nur Intensivstation): 113,3 mehr positive Tests, 12,6 weniger Infektionen, 3,4 weniger Todesfälle, Kosteneinsparung 272.118 € (−3.278 €/getesteter Patient). Screening mit PCR war kostensparender trotz höherer Testkosten.</w:t>
      </w:r>
    </w:p>
    <w:p>
      <w:r>
        <w:rPr>
          <w:b/>
          <w:sz w:val="19"/>
        </w:rPr>
        <w:t xml:space="preserve">Übertragbarkeit: </w:t>
      </w:r>
      <w:r>
        <w:rPr>
          <w:sz w:val="19"/>
        </w:rPr>
        <w:t>Spanien, vergleichbares Versicherungssystem mit Deutschland, unmittelbar anwendbar</w:t>
      </w:r>
    </w:p>
    <w:p>
      <w:r>
        <w:rPr>
          <w:color w:val="5A7D3A"/>
          <w:sz w:val="18"/>
        </w:rPr>
        <w:t>https://pubmed.ncbi.nlm.nih.gov/42464566/</w:t>
      </w:r>
    </w:p>
    <w:p>
      <w:pPr>
        <w:pStyle w:val="Heading2"/>
      </w:pPr>
      <w:r>
        <w:t>Serotoninsyndom bei Polypharmaka: Fentanyl und Tramadol als übersehene Risiken</w:t>
      </w:r>
    </w:p>
    <w:p>
      <w:r>
        <w:rPr>
          <w:i/>
          <w:color w:val="666666"/>
          <w:sz w:val="18"/>
        </w:rPr>
        <w:t>Blyzniuk B et al.  ·  Eur J Clin Pharmacol  ·  17.07.2026  ·  PMID 42463509</w:t>
      </w:r>
    </w:p>
    <w:p>
      <w:r>
        <w:t>Systematische Literaturübersicht mit Fallanalyse von 764 publizierten Serotoninsyndom-Fällen in Erwachsenen; Analyse von Medikamentenkombinationen und Outcomes zwischen Suizidversuch und Routinemedikation.</w:t>
      </w:r>
    </w:p>
    <w:p>
      <w:r>
        <w:rPr>
          <w:b/>
        </w:rPr>
        <w:t xml:space="preserve">Ergebnis: </w:t>
      </w:r>
      <w:r>
        <w:t>764 Fälle eingeschlossen; 653 (85,6 %) erfüllten Sternbach-, 496 (65,0 %) Hunter-Kriterien. Suizidvorsätze: 79,4 % Intensivstationen, 18,0 % Mortalität; Routinemedikation: 35,6 % Intensivstation, 5,1 % Mortalität (beide p &lt; 0,001). Von 645 Routinefällen 92,9 % Kombinationstherapie; Monotherapie mild, meist nach Start neuer Antidepressiva bei jüngeren Patienten. Netzwerk-Analyse: Trazodone am häufigsten verbundenes Antidepressivum; Fentanyl und Tramadol als zentrale Nicht-Antidepressiva-Knoten. Fünf Fälle nach Antipsychotika-Absetzen bei beibehaltenen Serotonergika.</w:t>
      </w:r>
    </w:p>
    <w:p>
      <w:r>
        <w:rPr>
          <w:b/>
          <w:sz w:val="19"/>
        </w:rPr>
        <w:t xml:space="preserve">Übertragbarkeit: </w:t>
      </w:r>
      <w:r>
        <w:rPr>
          <w:sz w:val="19"/>
        </w:rPr>
        <w:t>Schweiz, deutschsprachig, vergleichbare Polypharmaka-Probleme im europäischen Gesundheitswesen</w:t>
      </w:r>
    </w:p>
    <w:p>
      <w:r>
        <w:rPr>
          <w:color w:val="5A7D3A"/>
          <w:sz w:val="18"/>
        </w:rPr>
        <w:t>https://pubmed.ncbi.nlm.nih.gov/42463509/</w:t>
      </w:r>
    </w:p>
    <w:p>
      <w:pPr>
        <w:pStyle w:val="Heading1"/>
      </w:pPr>
      <w:r>
        <w:t>Aufgenommen am 09.09.2026</w:t>
      </w:r>
    </w:p>
    <w:p>
      <w:pPr>
        <w:pStyle w:val="Heading2"/>
      </w:pPr>
      <w:r>
        <w:t>85% der Schlafstudien melden Nebenwirkungen inkonsistent: Registry-Publikations-Diskordanz gefährdet Patientensicherheit</w:t>
      </w:r>
    </w:p>
    <w:p>
      <w:r>
        <w:rPr>
          <w:i/>
          <w:color w:val="666666"/>
          <w:sz w:val="18"/>
        </w:rPr>
        <w:t>Lackey M et al.  ·  BMJ Open  ·  08.09.2026  ·  PMID 42711075</w:t>
      </w:r>
    </w:p>
    <w:p>
      <w:r>
        <w:t>Querschnitt 168 Schlafstudien: Vergleich Nebenwirkungsmelderaten ClinicalTrials.gov versus peer-review-Publikationen; Ursachen und Lokalisierung der Meldungen analysiert.</w:t>
      </w:r>
    </w:p>
    <w:p>
      <w:r>
        <w:rPr>
          <w:b/>
        </w:rPr>
        <w:t xml:space="preserve">Ergebnis: </w:t>
      </w:r>
      <w:r>
        <w:t>143/168 (85,1%) mit Diskrepanzen schwerwiegender Ereignisse; Patient-Zahlen-Varianz 73,2%; 35,1% ohne Nebenwirkungsdaten. Post-Final-Rule-Studien bessere Registry-Meldung, aber Diskordanz persistiert. 17% Sterblichkeitsunterschätzung möglich.</w:t>
      </w:r>
    </w:p>
    <w:p>
      <w:r>
        <w:rPr>
          <w:b/>
          <w:sz w:val="19"/>
        </w:rPr>
        <w:t xml:space="preserve">Übertragbarkeit: </w:t>
      </w:r>
      <w:r>
        <w:rPr>
          <w:sz w:val="19"/>
        </w:rPr>
        <w:t>USA (Trial-Registry), Publikationsbias; Befund (Reporting-Lücken) auf deutsches Register-Publikations-Gap übertragbar</w:t>
      </w:r>
    </w:p>
    <w:p>
      <w:r>
        <w:rPr>
          <w:color w:val="5A7D3A"/>
          <w:sz w:val="18"/>
        </w:rPr>
        <w:t>https://pubmed.ncbi.nlm.nih.gov/42711075/</w:t>
      </w:r>
    </w:p>
    <w:p>
      <w:pPr>
        <w:pStyle w:val="Heading2"/>
      </w:pPr>
      <w:r>
        <w:t>Rekapillarisierungszeit bei akuter Entzündung: bettseitiger Test allein nicht sepsistauglich</w:t>
      </w:r>
    </w:p>
    <w:p>
      <w:r>
        <w:rPr>
          <w:i/>
          <w:color w:val="666666"/>
          <w:sz w:val="18"/>
        </w:rPr>
        <w:t>Gustavsson H et al.  ·  Crit Care  ·  31.08.2026  ·  PMID 42706575</w:t>
      </w:r>
    </w:p>
    <w:p>
      <w:r>
        <w:t>Prospektives humanes Endotoxämie-Modell (n=25): Die quantitativ gemessene Rekapillarisierungszeit (qCRT) durchlief unter LPS-induzierter systemischer Entzündung einen zweiphasigen Verlauf und überschritt den klinischen Schwellenwert von drei Sekunden in beide Richtungen.</w:t>
      </w:r>
    </w:p>
    <w:p>
      <w:r>
        <w:rPr>
          <w:b/>
        </w:rPr>
        <w:t xml:space="preserve">Ergebnis: </w:t>
      </w:r>
      <w:r>
        <w:t>Die qCRT stieg von etwa 3,5 s zu Beginn auf 8,31 s nach 1,5 Stunden (bei 14 von 25 Probanden wurde die Messobergrenze von 10 s erreicht) und fiel nach 5 Stunden auf 1,27 s. Die Streuung zwischen den Probanden war gering (ICC 0,30); den größten Anteil an der Varianz erklärte die Hauttemperatur. Ein einzelner fester Schwellenwert ist damit nicht verlässlich; die wiederholte Messung am selben Patienten sagt mehr aus als ein Populationsgrenzwert.</w:t>
      </w:r>
    </w:p>
    <w:p>
      <w:r>
        <w:rPr>
          <w:b/>
          <w:sz w:val="19"/>
        </w:rPr>
        <w:t xml:space="preserve">Übertragbarkeit: </w:t>
      </w:r>
      <w:r>
        <w:rPr>
          <w:sz w:val="19"/>
        </w:rPr>
        <w:t>Schweden (Uppsala), physiologische Validierung; Übertragbarkeit auf Sepsisverdacht in Notaufnahmen begrenzt ohne prospektive Patientenstudien</w:t>
      </w:r>
    </w:p>
    <w:p>
      <w:r>
        <w:rPr>
          <w:color w:val="5A7D3A"/>
          <w:sz w:val="18"/>
        </w:rPr>
        <w:t>https://pubmed.ncbi.nlm.nih.gov/42706575/</w:t>
      </w:r>
    </w:p>
    <w:p>
      <w:pPr>
        <w:pStyle w:val="Heading2"/>
      </w:pPr>
      <w:r>
        <w:t>Elektronische Dosierungskorrekturen für DOAC bei älteren Frauen: Benachrichtigungen erreichen nur 33% der Therapieänderungen bei Hochrisiko-Patienten</w:t>
      </w:r>
    </w:p>
    <w:p>
      <w:r>
        <w:rPr>
          <w:i/>
          <w:color w:val="666666"/>
          <w:sz w:val="18"/>
        </w:rPr>
        <w:t>Saraswat A et al.  ·  Res Pract Thromb Haemost  ·  06.08.2026  ·  PMID 42699097</w:t>
      </w:r>
    </w:p>
    <w:p>
      <w:r>
        <w:t>USA, Michigan: Evaluation elektronischer Benachrichtigungen zu DOAC-Dosierungsfehlern; 32,7% führten zu Dosisanpassung; Gründe für Nichtbefolgung dokumentiert.</w:t>
      </w:r>
    </w:p>
    <w:p>
      <w:r>
        <w:rPr>
          <w:b/>
        </w:rPr>
        <w:t xml:space="preserve">Ergebnis: </w:t>
      </w:r>
      <w:r>
        <w:t>Apixaban-Fehler zu 87,8% bei ≥80 Jahren. Dosisreduktion 52% Änderungsquote, Dosiserhöhung nur 16,8% (p&lt;0,001). Originale Verschreiber dokumentierten Ablehnungsgründe in 46,1%, Pharmazeuten in 90,5%. Nierenrückgang, Gewicht, Blutungsrisiko häufigste Ablehnungsgründe.</w:t>
      </w:r>
    </w:p>
    <w:p>
      <w:r>
        <w:rPr>
          <w:b/>
          <w:sz w:val="19"/>
        </w:rPr>
        <w:t xml:space="preserve">Übertragbarkeit: </w:t>
      </w:r>
      <w:r>
        <w:rPr>
          <w:sz w:val="19"/>
        </w:rPr>
        <w:t>USA (Haftungsklima anders), aber Fehlererkennungssystem auf deutsches QM-System übertragbar</w:t>
      </w:r>
    </w:p>
    <w:p>
      <w:r>
        <w:rPr>
          <w:color w:val="5A7D3A"/>
          <w:sz w:val="18"/>
        </w:rPr>
        <w:t>https://pubmed.ncbi.nlm.nih.gov/42699097/</w:t>
      </w:r>
    </w:p>
    <w:p>
      <w:pPr>
        <w:pStyle w:val="Heading2"/>
      </w:pPr>
      <w:r>
        <w:t>Infektionen unter MS-Therapie: italienisches Register zeigt Nutzen von Echtdaten-Vigilanz trotz methodischer Grenzen</w:t>
      </w:r>
    </w:p>
    <w:p>
      <w:r>
        <w:rPr>
          <w:i/>
          <w:color w:val="666666"/>
          <w:sz w:val="18"/>
        </w:rPr>
        <w:t>Salivetto M et al.  ·  Pharmacoepidemiol Drug Saf  ·  Aug. 2026  ·  PMID 42528095</w:t>
      </w:r>
    </w:p>
    <w:p>
      <w:r>
        <w:t>Italienisches MS-Register (RISM) 2016–2025: 24.259 Patienten mit krankheitsmodifizierender Therapie, 4.419 (18,2%) mit Klinischen Ereignissen; Infektionen 29,4%, Malignität 3,7%; prospektive Datenqualitätskontrolle implementiert.</w:t>
      </w:r>
    </w:p>
    <w:p>
      <w:r>
        <w:rPr>
          <w:b/>
        </w:rPr>
        <w:t xml:space="preserve">Ergebnis: </w:t>
      </w:r>
      <w:r>
        <w:t>Bei 24.259 Therapieinitiationen 18,2% mit dokumentiertem Ereignis; Infektionsanteil 29,4% aller Events. Stärken: umfassendes Langzeit-Tracking, Patientenperspektive. Grenzen: methodische Herausforderungen bei Sekundärdaten, Meldepflichten variabel, nationale Transferbarkeit eingeschränkt.</w:t>
      </w:r>
    </w:p>
    <w:p>
      <w:r>
        <w:rPr>
          <w:b/>
          <w:sz w:val="19"/>
        </w:rPr>
        <w:t xml:space="preserve">Übertragbarkeit: </w:t>
      </w:r>
      <w:r>
        <w:rPr>
          <w:sz w:val="19"/>
        </w:rPr>
        <w:t>Italien (vergleichbares EU-Melderecht), kohortales Design; Struktur relevant für deutsches Klinik-Pharmakovigilance-Register</w:t>
      </w:r>
    </w:p>
    <w:p>
      <w:r>
        <w:rPr>
          <w:color w:val="5A7D3A"/>
          <w:sz w:val="18"/>
        </w:rPr>
        <w:t>https://pubmed.ncbi.nlm.nih.gov/42528095/</w:t>
      </w:r>
    </w:p>
    <w:p>
      <w:pPr>
        <w:pStyle w:val="Heading2"/>
      </w:pPr>
      <w:r>
        <w:t>Lamotrigin erhöht SJS/TEN-Risiko 173fach: dänische Inzidenzkohorte quantifiziert Arzneimittelschaden bei Antikonvulsiva</w:t>
      </w:r>
    </w:p>
    <w:p>
      <w:r>
        <w:rPr>
          <w:i/>
          <w:color w:val="666666"/>
          <w:sz w:val="18"/>
        </w:rPr>
        <w:t>Heerfordt IM et al.  ·  Neurology  ·  11.08.2026  ·  PMID 42467870</w:t>
      </w:r>
    </w:p>
    <w:p>
      <w:r>
        <w:t>Dänische Bevölkerungskohorte 1995–2024: 1.388.397 Antikonvulsiva-Initiationen, 83 SJS/TEN-Fälle in 90 Tagen; Mortalität 17%, Ereignisse konzentriert auf erste Wochen.</w:t>
      </w:r>
    </w:p>
    <w:p>
      <w:r>
        <w:rPr>
          <w:b/>
        </w:rPr>
        <w:t xml:space="preserve">Ergebnis: </w:t>
      </w:r>
      <w:r>
        <w:t>Lamotrigin 29,31/100.000 (95% KI 21,46–39,09); Carbamazepin 16,66 (8,32–29,80); Phenobarbital 15,84; Oxcarbazepin 11,25; Valproat 7,31/100.000. Gabapentinoide deutlich niedriger (Pregabalin 2,26, Gabapentin 1,24). Hintergrund 0,17/100.000. 7% aller SJS/TEN-Fälle Dänemarks antikonvulsiva-assoziiert.</w:t>
      </w:r>
    </w:p>
    <w:p>
      <w:r>
        <w:rPr>
          <w:b/>
          <w:sz w:val="19"/>
        </w:rPr>
        <w:t xml:space="preserve">Übertragbarkeit: </w:t>
      </w:r>
      <w:r>
        <w:rPr>
          <w:sz w:val="19"/>
        </w:rPr>
        <w:t>Dänemark (Melderegister), Inzidenzkohorte; europäische Baseline für Vergleichbarkeit mit deutschem Arzneimittelrisiko</w:t>
      </w:r>
    </w:p>
    <w:p>
      <w:r>
        <w:rPr>
          <w:color w:val="5A7D3A"/>
          <w:sz w:val="18"/>
        </w:rPr>
        <w:t>https://pubmed.ncbi.nlm.nih.gov/42467870/</w:t>
      </w:r>
    </w:p>
    <w:p>
      <w:pPr>
        <w:pStyle w:val="Heading2"/>
      </w:pPr>
      <w:r>
        <w:t>Automatisierte nosokomiale Sepsis-Erfassung über Laborresistenzdaten machbar: niederländisches Pilotierungsprojekt zeigt Machbarkeit mit Grenzen</w:t>
      </w:r>
    </w:p>
    <w:p>
      <w:r>
        <w:rPr>
          <w:i/>
          <w:color w:val="666666"/>
          <w:sz w:val="18"/>
        </w:rPr>
        <w:t>Brekelmans M et al.  ·  Euro Surveill  ·  Juli 2026  ·  PMID 42464816</w:t>
      </w:r>
    </w:p>
    <w:p>
      <w:r>
        <w:t>Niederlande 2018–2023: automated surveillance von hospital-onset bacteraemia/fungaemia (HOB) mittels nationales Resistenz-Surveillance-System (ISIS-AR); Feasibility-Evaluation an vier Kliniken mit outcome validation.</w:t>
      </w:r>
    </w:p>
    <w:p>
      <w:r>
        <w:rPr>
          <w:b/>
        </w:rPr>
        <w:t xml:space="preserve">Ergebnis: </w:t>
      </w:r>
      <w:r>
        <w:t>Ältere Parameter &gt;80% dokumentiert; Aufnahmetermin nur in 14/105 Kliniken. Outcome-Validierung: sichere HOB-Identifikation bei Nicht-Kommensalen, variable Sensitivität bei Kommensalen (Laborpolitik-abhängig). Interviewpartner sehen Wert auf Hospitalebene und Benchmarking; nationale Trend-Überwachung unklar.</w:t>
      </w:r>
    </w:p>
    <w:p>
      <w:r>
        <w:rPr>
          <w:b/>
          <w:sz w:val="19"/>
        </w:rPr>
        <w:t xml:space="preserve">Übertragbarkeit: </w:t>
      </w:r>
      <w:r>
        <w:rPr>
          <w:sz w:val="19"/>
        </w:rPr>
        <w:t>Niederlande (vergleichbares Versicherungs- und Meldewesen), Sekundärdaten-Nutzung; direkter Transfer auf deutsches Surveillancesystem möglich</w:t>
      </w:r>
    </w:p>
    <w:p>
      <w:r>
        <w:rPr>
          <w:color w:val="5A7D3A"/>
          <w:sz w:val="18"/>
        </w:rPr>
        <w:t>https://pubmed.ncbi.nlm.nih.gov/42464816/</w:t>
      </w:r>
    </w:p>
    <w:p>
      <w:pPr>
        <w:pStyle w:val="Heading1"/>
      </w:pPr>
      <w:r>
        <w:t>Aufgenommen am 08.09.2026</w:t>
      </w:r>
    </w:p>
    <w:p>
      <w:pPr>
        <w:pStyle w:val="Heading2"/>
      </w:pPr>
      <w:r>
        <w:t>Prospektive Verschreibungsprüfung senkte irrationale Verordnungen um 1,56 Prozentpunkte; Intervention mit Modus bestimmt Erfolg</w:t>
      </w:r>
    </w:p>
    <w:p>
      <w:r>
        <w:rPr>
          <w:i/>
          <w:color w:val="666666"/>
          <w:sz w:val="18"/>
        </w:rPr>
        <w:t>Tang F et al.  ·  JMIR Form Res  ·  27.08.2026  ·  PMID 42704205</w:t>
      </w:r>
    </w:p>
    <w:p>
      <w:r>
        <w:t>Retrospektive Kohortenstudie an Augenklinik in Shanghai mit 2.559.342 ambulanten/Notfall-Rezepten 2024: Evaluation eines prospektiven Verschreibungsprüf-Systems zur Reduktion irrationaler Verordnungen; primäres Outcome: Quote erfolgreich interceptierter Rezepte nach Prüfmodus (Erinnerung, Warnung, obligatorisch).</w:t>
      </w:r>
    </w:p>
    <w:p>
      <w:r>
        <w:rPr>
          <w:b/>
        </w:rPr>
        <w:t xml:space="preserve">Ergebnis: </w:t>
      </w:r>
      <w:r>
        <w:t>Gesamt-Interceptionsquote 32,99 % (40.877/123.914 irrationaler Rezepte). Rezept-Rationalitätsrate stieg von 95,23 % auf 96,79 % nach Ausschluss interceptierter Rezepte (p &lt; 0,001). Obligatorischer Prüfmodus höchste Quote (96,91 %), Erinnerung niedrigste (0,99 %). Pharmakisten-Mitarbeit steigerte Erfolg auf 85,63 %.</w:t>
      </w:r>
    </w:p>
    <w:p>
      <w:r>
        <w:rPr>
          <w:b/>
          <w:sz w:val="19"/>
        </w:rPr>
        <w:t xml:space="preserve">Übertragbarkeit: </w:t>
      </w:r>
      <w:r>
        <w:rPr>
          <w:sz w:val="19"/>
        </w:rPr>
        <w:t>China, aber Designprinzip (prospektive Überprüfung vor Dispensierung) auch im deutschen Apotheken-Standard etabliert</w:t>
      </w:r>
    </w:p>
    <w:p>
      <w:r>
        <w:rPr>
          <w:color w:val="5A7D3A"/>
          <w:sz w:val="18"/>
        </w:rPr>
        <w:t>https://pubmed.ncbi.nlm.nih.gov/42704205/</w:t>
      </w:r>
    </w:p>
    <w:p>
      <w:pPr>
        <w:pStyle w:val="Heading2"/>
      </w:pPr>
      <w:r>
        <w:t>Frühere Knie- und Schulter-Arthroskopie erhöhen Infektionsrisiko nach Endoprothese, Hüfte nicht</w:t>
      </w:r>
    </w:p>
    <w:p>
      <w:r>
        <w:rPr>
          <w:i/>
          <w:color w:val="666666"/>
          <w:sz w:val="18"/>
        </w:rPr>
        <w:t>Liu H et al.  ·  J Invest Surg  ·  07.09.2026  ·  PMID 42704073</w:t>
      </w:r>
    </w:p>
    <w:p>
      <w:r>
        <w:t>Meta-Analyse von 31 Beobachtungsstudien: Odds Ratios für nosokomiale Infektionen nach Knie-, Hüft- und Schulter-Endoprothesen in Abhängigkeit von vorausgegangener Arthroskopie desselben oder anderer Gelenke.</w:t>
      </w:r>
    </w:p>
    <w:p>
      <w:r>
        <w:rPr>
          <w:b/>
        </w:rPr>
        <w:t xml:space="preserve">Ergebnis: </w:t>
      </w:r>
      <w:r>
        <w:t>Frühere Knie-Arthroskopie: erhöhtes Infektionsrisiko (OR 1,33, 95%-KI 1,14–1,56); frühere Schulter-Arthroskopie: erhöhtes Risiko für Tiefinfektionen (OR erhöht); frühere Hüft-Arthroskopie: kein signifikanter Zusammenhang. Gepoolte Gesamtinfektionsrate 2 %. Jointspecific Risk-Stratifikation erforderlich.</w:t>
      </w:r>
    </w:p>
    <w:p>
      <w:r>
        <w:rPr>
          <w:b/>
          <w:sz w:val="19"/>
        </w:rPr>
        <w:t xml:space="preserve">Übertragbarkeit: </w:t>
      </w:r>
      <w:r>
        <w:rPr>
          <w:sz w:val="19"/>
        </w:rPr>
        <w:t>Internationale Metaanalyse, Ergebnisse auf deutsches Trauma/Orthopädie-System übertragbar</w:t>
      </w:r>
    </w:p>
    <w:p>
      <w:r>
        <w:rPr>
          <w:color w:val="5A7D3A"/>
          <w:sz w:val="18"/>
        </w:rPr>
        <w:t>https://pubmed.ncbi.nlm.nih.gov/42704073/</w:t>
      </w:r>
    </w:p>
    <w:p>
      <w:pPr>
        <w:pStyle w:val="Heading2"/>
      </w:pPr>
      <w:r>
        <w:t>Chirurgische Wundinfektionen: Surveillance, Audit und perioperative Maßnahmen-Bundle zur Prävention</w:t>
      </w:r>
    </w:p>
    <w:p>
      <w:r>
        <w:rPr>
          <w:i/>
          <w:color w:val="666666"/>
          <w:sz w:val="18"/>
        </w:rPr>
        <w:t>Ambrosie L et al.  ·  Chirurgia (Bucur)  ·  Juli 2026  ·  PMID 42703985</w:t>
      </w:r>
    </w:p>
    <w:p>
      <w:r>
        <w:t>Strukturierte Narrativ-Review zur nosokomialen Infektionsprävention in der Allgemeinchirurgie: kritische Analyse von Definitionen, Surveillance, Audit, Antibiotika-Resistenz und perioperativer Vorbeugung mit Fokus auf Chirurgische Wundinfektionen (SSI) – mit Maßnahmen-Bundle und Audit-Dashboard.</w:t>
      </w:r>
    </w:p>
    <w:p>
      <w:r>
        <w:rPr>
          <w:b/>
        </w:rPr>
        <w:t xml:space="preserve">Ergebnis: </w:t>
      </w:r>
      <w:r>
        <w:t>Empfehlungsgrundlagen: korrekte Antibiotika-Prophylaxe, alkoholhaltige Hautdesinfektion, Vermeidung intraoperativer Hypothermie, aseptische Praxis, Stewardship und Post-Entlassung-Fallermittlung sind konsistent durch Evidenz gestützt. Bundles können SSI reduzieren, aber Effekt hängt von Adhärenz und Kontext ab; größere Bundles nicht automatisch wirksamer.</w:t>
      </w:r>
    </w:p>
    <w:p>
      <w:r>
        <w:rPr>
          <w:b/>
          <w:sz w:val="19"/>
        </w:rPr>
        <w:t xml:space="preserve">Übertragbarkeit: </w:t>
      </w:r>
      <w:r>
        <w:rPr>
          <w:sz w:val="19"/>
        </w:rPr>
        <w:t>Rumänien, europäischer Ansatz zu SSI-Prävention, KRINKO-kompatibel</w:t>
      </w:r>
    </w:p>
    <w:p>
      <w:r>
        <w:rPr>
          <w:color w:val="5A7D3A"/>
          <w:sz w:val="18"/>
        </w:rPr>
        <w:t>https://pubmed.ncbi.nlm.nih.gov/42703985/</w:t>
      </w:r>
    </w:p>
    <w:p>
      <w:pPr>
        <w:pStyle w:val="Heading2"/>
      </w:pPr>
      <w:r>
        <w:t>Standardmaßnahmen ohne Isolierung reduzierten ESBL-E-Infektionen ähnlich wie Isolierung – non-inferiority-Design zur Versorgungsoptimierung</w:t>
      </w:r>
    </w:p>
    <w:p>
      <w:r>
        <w:rPr>
          <w:i/>
          <w:color w:val="666666"/>
          <w:sz w:val="18"/>
        </w:rPr>
        <w:t>Ezzi O et al.  ·  PLoS One  ·  21.07.2026  ·  PMID 42479741</w:t>
      </w:r>
    </w:p>
    <w:p>
      <w:r>
        <w:t>Prospektiver Interventionsstudie in französischen geriatrischen Stationen: Vergleich Standard Precautions (SP) ohne Isolierung gegen Isolierung nur bei klinisch erkannten ESBL-E-Infektionen. Primärausgang: Inzidenzrate neuer ESBL-E-Akquisitionen pro 1.000 Patiententage.</w:t>
      </w:r>
    </w:p>
    <w:p>
      <w:r>
        <w:rPr>
          <w:b/>
        </w:rPr>
        <w:t xml:space="preserve">Ergebnis: </w:t>
      </w:r>
      <w:r>
        <w:t>Studienprotokoll mit Studiendesign (crossover mit alternierenden Perioden, 4-Jahres-Laufzeit). Ziel: Non-Inferiority von SP zu zeigen. Ergebnis noch nicht vorgelegen, aber Design adressiert das versorgungskritische Problem unnötiger Isolierungen bei stabiler Epidemiologie.</w:t>
      </w:r>
    </w:p>
    <w:p>
      <w:r>
        <w:rPr>
          <w:b/>
          <w:sz w:val="19"/>
        </w:rPr>
        <w:t xml:space="preserve">Übertragbarkeit: </w:t>
      </w:r>
      <w:r>
        <w:rPr>
          <w:sz w:val="19"/>
        </w:rPr>
        <w:t>Frankreich, vergleichbar mit DACH-Systemen, Infektionsschutz-Standard</w:t>
      </w:r>
    </w:p>
    <w:p>
      <w:r>
        <w:rPr>
          <w:color w:val="5A7D3A"/>
          <w:sz w:val="18"/>
        </w:rPr>
        <w:t>https://pubmed.ncbi.nlm.nih.gov/42479741/</w:t>
      </w:r>
    </w:p>
    <w:p>
      <w:pPr>
        <w:pStyle w:val="Heading2"/>
      </w:pPr>
      <w:r>
        <w:t>Spanische Validierung der Hospital Survey on Patient Safety Culture v2: robust messbare Sicherheitskultur in 4 Krankenhäusern</w:t>
      </w:r>
    </w:p>
    <w:p>
      <w:r>
        <w:rPr>
          <w:i/>
          <w:color w:val="666666"/>
          <w:sz w:val="18"/>
        </w:rPr>
        <w:t>Lopez-Picazo JJ et al.  ·  J Eval Clin Pract  ·  Aug. 2026  ·  PMID 42472383</w:t>
      </w:r>
    </w:p>
    <w:p>
      <w:r>
        <w:t>Querschnittliche Validierungsstudie in 4 spanischen Krankenhäusern mit 369 Fachpersonen zur psychometrischen Anpassung der HSOPS v2 ins Spanische: Confirmatory Factor Analysis mit WLSMV-Schätzer, Messung von Reliabilität, konvergenter und diskriminanter Validität.</w:t>
      </w:r>
    </w:p>
    <w:p>
      <w:r>
        <w:rPr>
          <w:b/>
        </w:rPr>
        <w:t xml:space="preserve">Ergebnis: </w:t>
      </w:r>
      <w:r>
        <w:t>10-Faktor-Modell mit zufriedenstellenden Fit-Indizes (CFI, TLI &gt; 0,90; RMSEA &lt; 0,06; SRMR &lt; 0,08). Cronbach α und composite reliability &gt; 0,70 in 8 von 10 Dimensionen. Diskriminanzvalidität unterstützt. Spanische HSOPS v2 zur Sicherheitskultur-Messung geeignet.</w:t>
      </w:r>
    </w:p>
    <w:p>
      <w:r>
        <w:rPr>
          <w:b/>
          <w:sz w:val="19"/>
        </w:rPr>
        <w:t xml:space="preserve">Übertragbarkeit: </w:t>
      </w:r>
      <w:r>
        <w:rPr>
          <w:sz w:val="19"/>
        </w:rPr>
        <w:t>Spanien, vergleichbar mit deutschem Ansatz zur Sicherheitskultur-Erfassung</w:t>
      </w:r>
    </w:p>
    <w:p>
      <w:r>
        <w:rPr>
          <w:color w:val="5A7D3A"/>
          <w:sz w:val="18"/>
        </w:rPr>
        <w:t>https://pubmed.ncbi.nlm.nih.gov/42472383/</w:t>
      </w:r>
    </w:p>
    <w:p>
      <w:pPr>
        <w:pStyle w:val="Heading2"/>
      </w:pPr>
      <w:r>
        <w:t>Klinische Entscheidungsfindung bei Verdacht auf maternale Sepsis: Überbehandlung mit Breitspektrumantibiotika um 21 % vermeidet Todesfälle, aber Stewardship scheitert</w:t>
      </w:r>
    </w:p>
    <w:p>
      <w:r>
        <w:rPr>
          <w:i/>
          <w:color w:val="666666"/>
          <w:sz w:val="18"/>
        </w:rPr>
        <w:t>Kingdon C et al.  ·  BMJ Open  ·  17.07.2026  ·  PMID 42468961</w:t>
      </w:r>
    </w:p>
    <w:p>
      <w:r>
        <w:t>Qualitative Studie mit 24 UK-Klinikern (Geburtshelfer, Anästhesisten, Hebammen) zur Entscheidungsfindung bei Verdacht auf maternale Sepsis in der Geburtshilfe: Sie zeigt, dass 21 von 24 Klinikern Überbehandlung als Problem erachten, aber Angst vor Sepsismissdiagnose die Antibiotic Stewardship überlagert.</w:t>
      </w:r>
    </w:p>
    <w:p>
      <w:r>
        <w:rPr>
          <w:b/>
        </w:rPr>
        <w:t xml:space="preserve">Ergebnis: </w:t>
      </w:r>
      <w:r>
        <w:t>21 von 24 Klinikern (87,5 %) bestätigten Überbehandlung als Problem; Angst vor Sepsismissdiagnose dominiert klinische Entscheidungen. Bessere Point-of-Care-Diagnostik und Leitlinien-Anpassungen sind erforderlich – ohne diese bleibt Overtreatment unvermeidlich.</w:t>
      </w:r>
    </w:p>
    <w:p>
      <w:r>
        <w:rPr>
          <w:b/>
          <w:sz w:val="19"/>
        </w:rPr>
        <w:t xml:space="preserve">Übertragbarkeit: </w:t>
      </w:r>
      <w:r>
        <w:rPr>
          <w:sz w:val="19"/>
        </w:rPr>
        <w:t>UK-NHS, vergleichbar mit deutschem Versorgungsauftrag, aber anderes Melderecht</w:t>
      </w:r>
    </w:p>
    <w:p>
      <w:r>
        <w:rPr>
          <w:color w:val="5A7D3A"/>
          <w:sz w:val="18"/>
        </w:rPr>
        <w:t>https://pubmed.ncbi.nlm.nih.gov/42468961/</w:t>
      </w:r>
    </w:p>
    <w:p>
      <w:pPr>
        <w:pStyle w:val="Heading1"/>
      </w:pPr>
      <w:r>
        <w:t>Aufgenommen am 07.09.2026</w:t>
      </w:r>
    </w:p>
    <w:p>
      <w:pPr>
        <w:pStyle w:val="Heading2"/>
      </w:pPr>
      <w:r>
        <w:t>Antibiotic Stewardship in Lombardy: Access-Watch-Reserve Quoten bleiben unter WHO-Ziel</w:t>
      </w:r>
    </w:p>
    <w:p>
      <w:r>
        <w:rPr>
          <w:i/>
          <w:color w:val="666666"/>
          <w:sz w:val="18"/>
        </w:rPr>
        <w:t>Augello M et al.  ·  J Antimicrob Chemother  ·  01.09.2026  ·  PMID 42702569</w:t>
      </w:r>
    </w:p>
    <w:p>
      <w:r>
        <w:t>Regionale administrative Daten zum stationären Antibiotikahaubrauch in der Lombardei 2017–2024, stratifiziert nach Stationstyp und Pandemie-Phasen.</w:t>
      </w:r>
    </w:p>
    <w:p>
      <w:r>
        <w:rPr>
          <w:b/>
        </w:rPr>
        <w:t xml:space="preserve">Ergebnis: </w:t>
      </w:r>
      <w:r>
        <w:t>Trotz Anstieg von Access-Antibiotika erreichte die Region die WHO-Zielquote (≥60%) nicht; Watch-Antibiotika nahmen ab, Reserve-Antibiotika stiegen besorgniserregend an (p&lt;0,05). Systemische Lücke in der Antibiotikaauswahl als Versorgungsproblem.</w:t>
      </w:r>
    </w:p>
    <w:p>
      <w:r>
        <w:rPr>
          <w:b/>
          <w:sz w:val="19"/>
        </w:rPr>
        <w:t xml:space="preserve">Übertragbarkeit: </w:t>
      </w:r>
      <w:r>
        <w:rPr>
          <w:sz w:val="19"/>
        </w:rPr>
        <w:t>Italien, vergleichbare EU-Dokumentationspflichten, systematisch untersuchte Fehlerquelle</w:t>
      </w:r>
    </w:p>
    <w:p>
      <w:r>
        <w:rPr>
          <w:color w:val="5A7D3A"/>
          <w:sz w:val="18"/>
        </w:rPr>
        <w:t>https://pubmed.ncbi.nlm.nih.gov/42702569/</w:t>
      </w:r>
    </w:p>
    <w:p>
      <w:pPr>
        <w:pStyle w:val="Heading2"/>
      </w:pPr>
      <w:r>
        <w:t>Klinischer Pharmazeut senkt Antibiotika-Dosierungsfehler bei Bacteriämie um Sechsfaches</w:t>
      </w:r>
    </w:p>
    <w:p>
      <w:r>
        <w:rPr>
          <w:i/>
          <w:color w:val="666666"/>
          <w:sz w:val="18"/>
        </w:rPr>
        <w:t>Givon Cohen Y et al.  ·  Isr Med Assoc J  ·  Sept. 2026  ·  PMID 42701840</w:t>
      </w:r>
    </w:p>
    <w:p>
      <w:r>
        <w:t>Vorher-Nachher-Studie: 170 Patienten mit Bacteriämie unter Pharmazeuten-Intervention (Juli 2018–Juni 2019) vs. 173 Kontrollen; Outcome: Angemessenheit von Antibiotikaauswahl und Dosierung.</w:t>
      </w:r>
    </w:p>
    <w:p>
      <w:r>
        <w:rPr>
          <w:b/>
        </w:rPr>
        <w:t xml:space="preserve">Ergebnis: </w:t>
      </w:r>
      <w:r>
        <w:t>Angepasste Dosierung stieg von 91,3% auf 97,6% (p=0,011); pathogengerechte Auswahl von 95,4% auf 100% (p=0,007). Odds Ratio für angemessene Behandlung 5,00 (95%-KI 1,64–15,25). 7-Tage-Rezidiv sank von 8,7% auf 2,4% (p=0,010).</w:t>
      </w:r>
    </w:p>
    <w:p>
      <w:r>
        <w:rPr>
          <w:b/>
          <w:sz w:val="19"/>
        </w:rPr>
        <w:t xml:space="preserve">Übertragbarkeit: </w:t>
      </w:r>
      <w:r>
        <w:rPr>
          <w:sz w:val="19"/>
        </w:rPr>
        <w:t>Israel, sozialversichertes Gesundheitssystem, Antibiotic-Stewardship-Modell funktioniert</w:t>
      </w:r>
    </w:p>
    <w:p>
      <w:r>
        <w:rPr>
          <w:color w:val="5A7D3A"/>
          <w:sz w:val="18"/>
        </w:rPr>
        <w:t>https://pubmed.ncbi.nlm.nih.gov/42701840/</w:t>
      </w:r>
    </w:p>
    <w:p>
      <w:pPr>
        <w:pStyle w:val="Heading2"/>
      </w:pPr>
      <w:r>
        <w:t>Organisationale Bindung stärkt Infektionsprävention über Arbeitszufriedenheit</w:t>
      </w:r>
    </w:p>
    <w:p>
      <w:r>
        <w:rPr>
          <w:i/>
          <w:color w:val="666666"/>
          <w:sz w:val="18"/>
        </w:rPr>
        <w:t>Wang L et al.  ·  Front Public Health  ·  21.08.2026  ·  PMID 42698679</w:t>
      </w:r>
    </w:p>
    <w:p>
      <w:r>
        <w:t>Querschnittsstudie mit 394 Fachkräften der Infektionsprävention aus 231 Krankenhäusern in Hubei, China; Strukturgleichungsmodell zur Untersuchung von organisationaler Bindung, Arbeitszufriedenheit und Umsetzung von Hygienemaßnahmen.</w:t>
      </w:r>
    </w:p>
    <w:p>
      <w:r>
        <w:rPr>
          <w:b/>
        </w:rPr>
        <w:t xml:space="preserve">Ergebnis: </w:t>
      </w:r>
      <w:r>
        <w:t>Organisationale Bindung wirkte positiv auf Hygiene-Umsetzung (β=0,556, p&lt;0,001). Arbeitszufriedenheit mediierte die Assoziation (β=0,193, 95%-KI 0,094–0,295) und erklärte 25,78% der Gesamtwirkung. Strukturelle Faktoren sind modifizierbar.</w:t>
      </w:r>
    </w:p>
    <w:p>
      <w:r>
        <w:rPr>
          <w:b/>
          <w:sz w:val="19"/>
        </w:rPr>
        <w:t xml:space="preserve">Übertragbarkeit: </w:t>
      </w:r>
      <w:r>
        <w:rPr>
          <w:sz w:val="19"/>
        </w:rPr>
        <w:t>China, kulturelles Umfeld unterschiedlich, aber Mechanismus der Mitarbeiterbindung für Prävention übergreifend</w:t>
      </w:r>
    </w:p>
    <w:p>
      <w:r>
        <w:rPr>
          <w:color w:val="5A7D3A"/>
          <w:sz w:val="18"/>
        </w:rPr>
        <w:t>https://pubmed.ncbi.nlm.nih.gov/42698679/</w:t>
      </w:r>
    </w:p>
    <w:p>
      <w:pPr>
        <w:pStyle w:val="Heading2"/>
      </w:pPr>
      <w:r>
        <w:t>Sepsis-Schockbehandlung: von starren Algorithmen zu Perfusions-gesteuerter Individualisierung</w:t>
      </w:r>
    </w:p>
    <w:p>
      <w:r>
        <w:rPr>
          <w:i/>
          <w:color w:val="666666"/>
          <w:sz w:val="18"/>
        </w:rPr>
        <w:t>Hernandez G et al.  ·  Crit Care  ·  21.07.2026  ·  PMID 42482139</w:t>
      </w:r>
    </w:p>
    <w:p>
      <w:r>
        <w:t>Konzeptionelle Übersicht von 25 Jahren Resuscitations-Studien (EGDT bis ANDROMEDA-SHOCK-2); Analyse, wie Proteure Schockmanagement sich von fixen Zielen zu Phänotypisierung verschob.</w:t>
      </w:r>
    </w:p>
    <w:p>
      <w:r>
        <w:rPr>
          <w:b/>
        </w:rPr>
        <w:t xml:space="preserve">Ergebnis: </w:t>
      </w:r>
      <w:r>
        <w:t>Frühe zielgerichtete Therapie (EGDT) nicht reproduzierbar in Multizentern. ANDROMEDA-SHOCK zeigte Vorteil von Kapillarfüllungszeit; ANDROMEDA-SHOCK-2 integrierte Phänotypisierung, reversible Tests und serielle Neubewertung mit potenziellen Verbesserungen.</w:t>
      </w:r>
    </w:p>
    <w:p>
      <w:r>
        <w:rPr>
          <w:b/>
          <w:sz w:val="19"/>
        </w:rPr>
        <w:t xml:space="preserve">Übertragbarkeit: </w:t>
      </w:r>
      <w:r>
        <w:rPr>
          <w:sz w:val="19"/>
        </w:rPr>
        <w:t>Internationale Autoren, deutsches Zentrum vertreten; sepsis-spezifischer Evidenzsynthese</w:t>
      </w:r>
    </w:p>
    <w:p>
      <w:r>
        <w:rPr>
          <w:color w:val="5A7D3A"/>
          <w:sz w:val="18"/>
        </w:rPr>
        <w:t>https://pubmed.ncbi.nlm.nih.gov/42482139/</w:t>
      </w:r>
    </w:p>
    <w:p>
      <w:pPr>
        <w:pStyle w:val="Heading2"/>
      </w:pPr>
      <w:r>
        <w:t>MR-Sicherheit beim Intensiv-Transport: Qualitative Studie zeigt Lücken in Praxis vs. Protokoll</w:t>
      </w:r>
    </w:p>
    <w:p>
      <w:r>
        <w:rPr>
          <w:i/>
          <w:color w:val="666666"/>
          <w:sz w:val="18"/>
        </w:rPr>
        <w:t>Martins MP et al.  ·  Radiography (Lond)  ·  20.07.2026  ·  PMID 42480422</w:t>
      </w:r>
    </w:p>
    <w:p>
      <w:r>
        <w:t>Ethnographische Beobachtungsstudie bei 14 Intrahospital-Transporten kritisch Kranker zur MR-Bildgebung in Schweden und Portugal; Fokus auf Sicherheits-Praktiken im Alltag.</w:t>
      </w:r>
    </w:p>
    <w:p>
      <w:r>
        <w:rPr>
          <w:b/>
        </w:rPr>
        <w:t xml:space="preserve">Ergebnis: </w:t>
      </w:r>
      <w:r>
        <w:t>Sicherheit entstand durch dynamische Koordination von Checklisten, Zeit-out-Verfahren und räumlicher Anpassung – nicht durch Protokoll allein. Lücken entstanden bei unzureichender Kommunikation und unvollständiger Dokumentation zu Implantaten. Radiographen waren zentrale Koordinatoren.</w:t>
      </w:r>
    </w:p>
    <w:p>
      <w:r>
        <w:rPr>
          <w:b/>
          <w:sz w:val="19"/>
        </w:rPr>
        <w:t xml:space="preserve">Übertragbarkeit: </w:t>
      </w:r>
      <w:r>
        <w:rPr>
          <w:sz w:val="19"/>
        </w:rPr>
        <w:t>Schweden und Portugal, europäische Klinikpraxis; qualitatives Sicherheitsmodell generalisierbar</w:t>
      </w:r>
    </w:p>
    <w:p>
      <w:r>
        <w:rPr>
          <w:color w:val="5A7D3A"/>
          <w:sz w:val="18"/>
        </w:rPr>
        <w:t>https://pubmed.ncbi.nlm.nih.gov/42480422/</w:t>
      </w:r>
    </w:p>
    <w:p>
      <w:pPr>
        <w:pStyle w:val="Heading2"/>
      </w:pPr>
      <w:r>
        <w:t>Pseudomonas-aeruginosa-Persistence in Klinikwasser: acht Jahre Langzeitüberwachung</w:t>
      </w:r>
    </w:p>
    <w:p>
      <w:r>
        <w:rPr>
          <w:i/>
          <w:color w:val="666666"/>
          <w:sz w:val="18"/>
        </w:rPr>
        <w:t>Sheth E et al.  ·  J Hosp Infect  ·  21.07.2026  ·  PMID 42476193</w:t>
      </w:r>
    </w:p>
    <w:p>
      <w:r>
        <w:t>Retrospektive Analyse von 404 klinischen und Umgebungsisolaten mittels VNTR-Genotypisierung; Vergleich genetisch identischer Stämme aus Wasser und Patientenblut über Jahre.</w:t>
      </w:r>
    </w:p>
    <w:p>
      <w:r>
        <w:rPr>
          <w:b/>
        </w:rPr>
        <w:t xml:space="preserve">Ergebnis: </w:t>
      </w:r>
      <w:r>
        <w:t>56 VNTR-Cluster identifiziert; 39 Cluster zeigten Persistenz über ein bis über acht Jahre. Umgebungsisolate voraus: neun Cluster zeigten Wasser-zu-Patient-Transmission. Ein Cluster (n=20) über acht Jahre mit 17 Umgebungs-, ein invasives und zwei nicht-invasive Isolate.</w:t>
      </w:r>
    </w:p>
    <w:p>
      <w:r>
        <w:rPr>
          <w:b/>
          <w:sz w:val="19"/>
        </w:rPr>
        <w:t xml:space="preserve">Übertragbarkeit: </w:t>
      </w:r>
      <w:r>
        <w:rPr>
          <w:sz w:val="19"/>
        </w:rPr>
        <w:t>England, NHS-Zentrum, Besorgnis um nosokomiale Infektionen ist direkt übertragbar</w:t>
      </w:r>
    </w:p>
    <w:p>
      <w:r>
        <w:rPr>
          <w:color w:val="5A7D3A"/>
          <w:sz w:val="18"/>
        </w:rPr>
        <w:t>https://pubmed.ncbi.nlm.nih.gov/42476193/</w:t>
      </w:r>
    </w:p>
    <w:p>
      <w:pPr>
        <w:pStyle w:val="Heading1"/>
      </w:pPr>
      <w:r>
        <w:t>Aufgenommen am 06.09.2026</w:t>
      </w:r>
    </w:p>
    <w:p>
      <w:pPr>
        <w:pStyle w:val="Heading2"/>
      </w:pPr>
      <w:r>
        <w:t>Interdisziplinäres Schulungsprogramm senkt Harnwegsinfektionen in Heimpflege durch strukturierte Prävention</w:t>
      </w:r>
    </w:p>
    <w:p>
      <w:r>
        <w:rPr>
          <w:i/>
          <w:color w:val="666666"/>
          <w:sz w:val="18"/>
        </w:rPr>
        <w:t>Hagan C et al.  ·  Home Healthc Now  ·  04.09.2026  ·  PMID 42696361</w:t>
      </w:r>
    </w:p>
    <w:p>
      <w:r>
        <w:t>Programmevaluation einer Fortbildungs-Intervention über Katheterpflege, Händehygiene und Infektionserkennung für Heimpflegefachkräfte mit vorher-nachher Vergleich Infektionsraten.</w:t>
      </w:r>
    </w:p>
    <w:p>
      <w:r>
        <w:rPr>
          <w:b/>
        </w:rPr>
        <w:t xml:space="preserve">Ergebnis: </w:t>
      </w:r>
      <w:r>
        <w:t>Vorläufige Ergebnisse berichten verbesserte Wissensvermittlung bei Personal und verbesserte Patientensicherheit; frühe Daten zeigen Reduktion der Infektionsraten. Interdisziplinärer Ansatz über Pflege, Ergotherapie, Wund- und Stomatologie-Spezialisierungen erwies sich in Alltagsroutinen praktisch anwendbar.</w:t>
      </w:r>
    </w:p>
    <w:p>
      <w:r>
        <w:rPr>
          <w:b/>
          <w:sz w:val="19"/>
        </w:rPr>
        <w:t xml:space="preserve">Übertragbarkeit: </w:t>
      </w:r>
      <w:r>
        <w:rPr>
          <w:sz w:val="19"/>
        </w:rPr>
        <w:t>USA, Heimgesundheitswesen, Übertragbarkeit auf strukturelle ambulante Patientensicherheit</w:t>
      </w:r>
    </w:p>
    <w:p>
      <w:r>
        <w:rPr>
          <w:color w:val="5A7D3A"/>
          <w:sz w:val="18"/>
        </w:rPr>
        <w:t>https://pubmed.ncbi.nlm.nih.gov/42696361/</w:t>
      </w:r>
    </w:p>
    <w:p>
      <w:pPr>
        <w:pStyle w:val="Heading2"/>
      </w:pPr>
      <w:r>
        <w:t>Chirurgische Wundinfektion nach Amputation: 10,9% Infektionsrate, Risikofaktoren identifiziert</w:t>
      </w:r>
    </w:p>
    <w:p>
      <w:r>
        <w:rPr>
          <w:i/>
          <w:color w:val="666666"/>
          <w:sz w:val="18"/>
        </w:rPr>
        <w:t>SIMBA Collaborative Group  ·  BJS Open  ·  04.09.2026  ·  PMID 42695654</w:t>
      </w:r>
    </w:p>
    <w:p>
      <w:r>
        <w:t>Die SIMBA-Studie untersuchte prospektiv nosokomiale Infektionen nach großen Unterschenkelamputationen in 1314 Patienten aus 46 internationalen Zentren über 8 Monate mit 30-Tage-Nachverfolgung.</w:t>
      </w:r>
    </w:p>
    <w:p>
      <w:r>
        <w:rPr>
          <w:b/>
        </w:rPr>
        <w:t xml:space="preserve">Ergebnis: </w:t>
      </w:r>
      <w:r>
        <w:t>Infektionsrate 10,9% (135 von 1238), Wunddehiszenz 16,7% (204 von 1217). Unabhängige Risikofaktoren: niedrige glomeruläre Filtrationsrate, Herzerkrankung, verschmutzte/infizierte Wundklasse, Unterschenkelamputationen. Infektionen mit erhöhter Morbidität, Wunddehiszenz, Revisionsoperationen und verzögerter Entlassung assoziiert, aber nicht mit 30-Tage-Mortalität (7,0%).</w:t>
      </w:r>
    </w:p>
    <w:p>
      <w:r>
        <w:rPr>
          <w:b/>
          <w:sz w:val="19"/>
        </w:rPr>
        <w:t xml:space="preserve">Übertragbarkeit: </w:t>
      </w:r>
      <w:r>
        <w:rPr>
          <w:sz w:val="19"/>
        </w:rPr>
        <w:t>UK/Europa, systematische Datenerfassung nach etablierten CDC-Kriterien</w:t>
      </w:r>
    </w:p>
    <w:p>
      <w:r>
        <w:rPr>
          <w:color w:val="5A7D3A"/>
          <w:sz w:val="18"/>
        </w:rPr>
        <w:t>https://pubmed.ncbi.nlm.nih.gov/42695654/</w:t>
      </w:r>
    </w:p>
    <w:p>
      <w:pPr>
        <w:pStyle w:val="Heading2"/>
      </w:pPr>
      <w:r>
        <w:t>Medikamenteninduzierte Leberschäden: Lücke zwischen Suchtrends und Symptomwissen in Kasachstan</w:t>
      </w:r>
    </w:p>
    <w:p>
      <w:r>
        <w:rPr>
          <w:i/>
          <w:color w:val="666666"/>
          <w:sz w:val="18"/>
        </w:rPr>
        <w:t>Saparbay J et al.  ·  Int J Environ Res Public Health  ·  14.08.2026  ·  PMID 42652369</w:t>
      </w:r>
    </w:p>
    <w:p>
      <w:r>
        <w:t>Infodemiology-Studie untersuchte Online-Suchverhalten zu medikamenteninduzierter Leberschädigung und hepatotoxischen Mitteln in Kasachstan 2021–2026 mittels Google-Trends-Daten und Mann-Kendall-Trendtest.</w:t>
      </w:r>
    </w:p>
    <w:p>
      <w:r>
        <w:rPr>
          <w:b/>
        </w:rPr>
        <w:t xml:space="preserve">Ergebnis: </w:t>
      </w:r>
      <w:r>
        <w:t>20 von 21 Suchbegriffen mit signifikantem Trend (p &lt; 0,05). Diätetische Supplemente zeigten stärksten Anstiegstrend (S = +1.275, Z = +7,93, p &lt; 0,001). Allgemeiner Begriff ‚Leber' höchste Suchaktivität (mittlere RSV 84,30), spezifische DILI-Symptome (dunkler Urin, Hautjucken) minimal (1,28; 0,07). Starke positive Korrelation Paracetamol-Antibiotika-Suchen (rs = 0,812, p &lt; 0,001) zeigt Selbstmedikationsmuster.</w:t>
      </w:r>
    </w:p>
    <w:p>
      <w:r>
        <w:rPr>
          <w:b/>
          <w:sz w:val="19"/>
        </w:rPr>
        <w:t xml:space="preserve">Übertragbarkeit: </w:t>
      </w:r>
      <w:r>
        <w:rPr>
          <w:sz w:val="19"/>
        </w:rPr>
        <w:t>Zentralasien, neue Region, Identifikation Wissenlücke zur Prävention unerwünschter Arzneimittelwirkungen</w:t>
      </w:r>
    </w:p>
    <w:p>
      <w:r>
        <w:rPr>
          <w:color w:val="5A7D3A"/>
          <w:sz w:val="18"/>
        </w:rPr>
        <w:t>https://pubmed.ncbi.nlm.nih.gov/42652369/</w:t>
      </w:r>
    </w:p>
    <w:p>
      <w:pPr>
        <w:pStyle w:val="Heading2"/>
      </w:pPr>
      <w:r>
        <w:t>Geruchsreize verstärken Händehygiene in virtueller OP-Simulation um Faktor 2,7</w:t>
      </w:r>
    </w:p>
    <w:p>
      <w:r>
        <w:rPr>
          <w:i/>
          <w:color w:val="666666"/>
          <w:sz w:val="18"/>
        </w:rPr>
        <w:t>Junga A et al.  ·  JMIR Med Educ  ·  19.08.2026  ·  PMID 42617058</w:t>
      </w:r>
    </w:p>
    <w:p>
      <w:r>
        <w:t>Kontrollierte Studie an Universität Münster (Winter 2025/26) mit 95 Medizinstudierenden untersuchte Auswirkung realen Desinfektionsmittelgeruchs auf VR-Simulation auf Händehygiene-Compliance und Handschuhgebrauch.</w:t>
      </w:r>
    </w:p>
    <w:p>
      <w:r>
        <w:rPr>
          <w:b/>
        </w:rPr>
        <w:t xml:space="preserve">Ergebnis: </w:t>
      </w:r>
      <w:r>
        <w:t>Olfaktorische Intervention nahezu verdreifachte Quote Händedesinfektion (8/43 18,6% vs. 20/52 38,5%; absolute Risikodifferenz 19,9 Prozentpunkte; OR=2,73, 95%-KI 1,09–7,40; p=0,04; NNT=5). Kein signifikanter Unterschied Handschuhgebrauch (OR=1,44, 95%-KI 0,62–3,45; p=0,40).</w:t>
      </w:r>
    </w:p>
    <w:p>
      <w:r>
        <w:rPr>
          <w:b/>
          <w:sz w:val="19"/>
        </w:rPr>
        <w:t xml:space="preserve">Übertragbarkeit: </w:t>
      </w:r>
      <w:r>
        <w:rPr>
          <w:sz w:val="19"/>
        </w:rPr>
        <w:t>Deutschland, universitäre Medizinerausbildung, Behavioral-Simulation für Patientensicherheit</w:t>
      </w:r>
    </w:p>
    <w:p>
      <w:r>
        <w:rPr>
          <w:color w:val="5A7D3A"/>
          <w:sz w:val="18"/>
        </w:rPr>
        <w:t>https://pubmed.ncbi.nlm.nih.gov/42617058/</w:t>
      </w:r>
    </w:p>
    <w:p>
      <w:pPr>
        <w:pStyle w:val="Heading2"/>
      </w:pPr>
      <w:r>
        <w:t>Polypharmazie vor Demenz-Diagnose: Prävalenz potenziell problematischer Medikamente in Norwegen erfasst</w:t>
      </w:r>
    </w:p>
    <w:p>
      <w:r>
        <w:rPr>
          <w:i/>
          <w:color w:val="666666"/>
          <w:sz w:val="18"/>
        </w:rPr>
        <w:t>Kersten H et al.  ·  PLoS One  ·  18.08.2026  ·  PMID 42611931</w:t>
      </w:r>
    </w:p>
    <w:p>
      <w:r>
        <w:t>Registergestützte retrospektive Kohortenstudie zur Prävalenz von Polypharmazie und potenziell unangemessenen Medikamenten (einschließlich kognitiv problematischer) im Jahr vor Diagnose von MCI/Demenz, verknüpfung norwegischer Gesundheitsregister 2014–2024.</w:t>
      </w:r>
    </w:p>
    <w:p>
      <w:r>
        <w:rPr>
          <w:b/>
        </w:rPr>
        <w:t xml:space="preserve">Ergebnis: </w:t>
      </w:r>
      <w:r>
        <w:t>Studienprotokoll (noch keine Ergebnisse), geplant: Verknüpfung Register der kognitiv Untersuchten mit Verschreibungsdaten und Komorbiditäten. Ziel: Prävalenz Polypharmazie und problematischer Medikamente bei diagnostizierter MCI/Demenz beschreiben, deprescribing-Interventionen informieren.</w:t>
      </w:r>
    </w:p>
    <w:p>
      <w:r>
        <w:rPr>
          <w:b/>
          <w:sz w:val="19"/>
        </w:rPr>
        <w:t xml:space="preserve">Übertragbarkeit: </w:t>
      </w:r>
      <w:r>
        <w:rPr>
          <w:sz w:val="19"/>
        </w:rPr>
        <w:t>Skandinavien (Norwegen), vergleichbares öffentliches Gesundheitssystem, nationale Registerintegration</w:t>
      </w:r>
    </w:p>
    <w:p>
      <w:r>
        <w:rPr>
          <w:color w:val="5A7D3A"/>
          <w:sz w:val="18"/>
        </w:rPr>
        <w:t>https://pubmed.ncbi.nlm.nih.gov/42611931/</w:t>
      </w:r>
    </w:p>
    <w:p>
      <w:pPr>
        <w:pStyle w:val="Heading2"/>
      </w:pPr>
      <w:r>
        <w:t>Masken senken nosokomiale Atemwegsinfektionen unabhängig von Transmissionsmodus am wirksamsten</w:t>
      </w:r>
    </w:p>
    <w:p>
      <w:r>
        <w:rPr>
          <w:i/>
          <w:color w:val="666666"/>
          <w:sz w:val="18"/>
        </w:rPr>
        <w:t>Gaufrès O et al.  ·  PLoS Comput Biol  ·  03.08.2026  ·  PMID 42546042</w:t>
      </w:r>
    </w:p>
    <w:p>
      <w:r>
        <w:t>Agent-basiertes stochastisches Modell respiratorischer Erreger-Transmission auf Intensivstationen verband empirische Kontaktdaten aus zwei französischen ICUs mit Simulationen kurz- und langstrecken-Transmission, um Interventionsstrategien zu vergleichen.</w:t>
      </w:r>
    </w:p>
    <w:p>
      <w:r>
        <w:rPr>
          <w:b/>
        </w:rPr>
        <w:t xml:space="preserve">Ergebnis: </w:t>
      </w:r>
      <w:r>
        <w:t>Universelles Maskentragen emergierte als wirksamste Strategie für beide Transmissionswege. Mit Lüftung in patientenzugänglichen Räumen konnten Masken mit begrenztem Wirkungsverlust reduziert werden. Interventionen für Beschäftigte (z. B. Lüftung nicht für Patienten zugänglich) senken indirekt Inzidenz bei Patienten stärker, wenn kombiniert mit gelockerten Maskenmaßnahmen.</w:t>
      </w:r>
    </w:p>
    <w:p>
      <w:r>
        <w:rPr>
          <w:b/>
          <w:sz w:val="19"/>
        </w:rPr>
        <w:t xml:space="preserve">Übertragbarkeit: </w:t>
      </w:r>
      <w:r>
        <w:rPr>
          <w:sz w:val="19"/>
        </w:rPr>
        <w:t>Frankreich, französische ICU-Struktur, Modellvalidierung mit Felddaten</w:t>
      </w:r>
    </w:p>
    <w:p>
      <w:r>
        <w:rPr>
          <w:color w:val="5A7D3A"/>
          <w:sz w:val="18"/>
        </w:rPr>
        <w:t>https://pubmed.ncbi.nlm.nih.gov/42546042/</w:t>
      </w:r>
    </w:p>
    <w:p>
      <w:pPr>
        <w:pStyle w:val="Heading2"/>
      </w:pPr>
      <w:r>
        <w:t>Piperacillin-Tazobactam-Resistenz und Mortalität: keine signifikante Assoziation nach Risikoanpassung</w:t>
      </w:r>
    </w:p>
    <w:p>
      <w:r>
        <w:rPr>
          <w:i/>
          <w:color w:val="666666"/>
          <w:sz w:val="18"/>
        </w:rPr>
        <w:t>Tusch E et al.  ·  JAMA Netw Open  ·  01.07.2026  ·  PMID 42485042</w:t>
      </w:r>
    </w:p>
    <w:p>
      <w:r>
        <w:t>Dänische nationale Registeranalyse von 34.379 Patienten mit E. coli oder K. pneumoniae Bacteriämie, Vergleich TZP-resistent vs. -empfindlich für 30-Tage-Mortalität.</w:t>
      </w:r>
    </w:p>
    <w:p>
      <w:r>
        <w:rPr>
          <w:b/>
        </w:rPr>
        <w:t xml:space="preserve">Ergebnis: </w:t>
      </w:r>
      <w:r>
        <w:t>E. coli: 5,9% TZP-resistent (1689/28.649), K. pneumoniae: 9,5% TZP-resistent (597/6314). Rohe HR E. coli 1,22 (95%-KI 1,08–1,38), K. pneumoniae 1,27 (95%-KI 1,05–1,52). Nach Anpassung auf Baseline-Risikofaktoren kein signifikanter Unterschied: E. coli aHR 1,09 (95%-KI 0,94–1,27), K. pneumoniae aHR 1,15 (95%-KI 0,94–1,41).</w:t>
      </w:r>
    </w:p>
    <w:p>
      <w:r>
        <w:rPr>
          <w:b/>
          <w:sz w:val="19"/>
        </w:rPr>
        <w:t xml:space="preserve">Übertragbarkeit: </w:t>
      </w:r>
      <w:r>
        <w:rPr>
          <w:sz w:val="19"/>
        </w:rPr>
        <w:t>Skandinavien (Dänemark), vergleichbares öffentliches Gesundheitssystem, nationale Vollzählung</w:t>
      </w:r>
    </w:p>
    <w:p>
      <w:r>
        <w:rPr>
          <w:color w:val="5A7D3A"/>
          <w:sz w:val="18"/>
        </w:rPr>
        <w:t>https://pubmed.ncbi.nlm.nih.gov/42485042/</w:t>
      </w:r>
    </w:p>
    <w:p>
      <w:pPr>
        <w:pStyle w:val="Heading1"/>
      </w:pPr>
      <w:r>
        <w:t>Aufgenommen am 05.09.2026</w:t>
      </w:r>
    </w:p>
    <w:p>
      <w:pPr>
        <w:pStyle w:val="Heading2"/>
      </w:pPr>
      <w:r>
        <w:t>Infektionskontrollprogramme erhöhen Händehygiene-Compliance um 30–40 Prozent</w:t>
      </w:r>
    </w:p>
    <w:p>
      <w:r>
        <w:rPr>
          <w:i/>
          <w:color w:val="666666"/>
          <w:sz w:val="18"/>
        </w:rPr>
        <w:t>Böff L et al.  ·  BMJ Open  ·  04.09.2026  ·  PMID 42697575</w:t>
      </w:r>
    </w:p>
    <w:p>
      <w:r>
        <w:t>Multinationalen Querschnittsstudie in 324 Gesundheitseinrichtungen in 4 subsaharischen Ländern (Februar–November 2022): 6.749 Gesundheitsarbeiter befragt zu Infektionskontrollmassnahmen, Exposures und Einhaltung von Händehygiene und Maskentragen.</w:t>
      </w:r>
    </w:p>
    <w:p>
      <w:r>
        <w:rPr>
          <w:b/>
        </w:rPr>
        <w:t xml:space="preserve">Ergebnis: </w:t>
      </w:r>
      <w:r>
        <w:t>51,4–83,3 % der Einrichtungen meldeten IPC-Programme (höher auf Tertiäreben). Nur 19,8 % hatten Handdesinfektionsmittel in jedem Zimmer. Vorhandensein eines IPC-Programms erhöhte Compliance bei Händehygiene (OR 1,3; 95%-KI 1,2–1,5) und Maskentragen (OR 1,4; 95%-KI 1,2–1,6). IPC-Training erhöhte Händehygiene-Compliance (OR 1,5; 95%-KI 1,3–1,7). Verfügbarkeit von Handdesinfektionsmittel und Masken war stärkster Prädiktor (OR 5,9 bzw. 2,3).</w:t>
      </w:r>
    </w:p>
    <w:p>
      <w:r>
        <w:rPr>
          <w:b/>
          <w:sz w:val="19"/>
        </w:rPr>
        <w:t xml:space="preserve">Übertragbarkeit: </w:t>
      </w:r>
      <w:r>
        <w:rPr>
          <w:sz w:val="19"/>
        </w:rPr>
        <w:t>Sub-Sahara-Afrika, aber Programmlogik auf deutsche Kliniken unter Ressourcenbedingungen übertragbar</w:t>
      </w:r>
    </w:p>
    <w:p>
      <w:r>
        <w:rPr>
          <w:color w:val="5A7D3A"/>
          <w:sz w:val="18"/>
        </w:rPr>
        <w:t>https://pubmed.ncbi.nlm.nih.gov/42697575/</w:t>
      </w:r>
    </w:p>
    <w:p>
      <w:pPr>
        <w:pStyle w:val="Heading2"/>
      </w:pPr>
      <w:r>
        <w:t>DACC-beschichtete Verbände bei pädiatrischen polymikrobiellen Wundinfektionen überlegen</w:t>
      </w:r>
    </w:p>
    <w:p>
      <w:r>
        <w:rPr>
          <w:i/>
          <w:color w:val="666666"/>
          <w:sz w:val="18"/>
        </w:rPr>
        <w:t>Ciprandi G et al.  ·  J Wound Care  ·  02.09.2026  ·  PMID 42695643</w:t>
      </w:r>
    </w:p>
    <w:p>
      <w:r>
        <w:t>Retrospektive Vergleichsstudie an zwei italienischen Pädiatrie-Zentren: 240 pädiatrische Patienten (120 pro Gruppe) mit Wundinfektionen, behandelt mit DACC-beschichteten oder Silberhydrofiber-Verbänden; Messung von Infektionsauflösung, Fortschritt, Mikrobiologie und Toleranz.</w:t>
      </w:r>
    </w:p>
    <w:p>
      <w:r>
        <w:rPr>
          <w:b/>
        </w:rPr>
        <w:t xml:space="preserve">Ergebnis: </w:t>
      </w:r>
      <w:r>
        <w:t>Infektionsauflösung: DACC 94,8 % vs. Silberhydrofiber 79,0 % (p=0,05). Keine Progression/Verschlechterung: DACC 4,2 % vs. 13,5 % (p=0,03) bzw. 2,5 % vs. 7,5 % (p=0,005). DACC-Verbände zeigten kürzere Wechselzeiten und bessere Verträglichkeit auf fragiler Haut. Häufig WHO-Prioritätserreger in Kulturen.</w:t>
      </w:r>
    </w:p>
    <w:p>
      <w:r>
        <w:rPr>
          <w:b/>
          <w:sz w:val="19"/>
        </w:rPr>
        <w:t xml:space="preserve">Übertragbarkeit: </w:t>
      </w:r>
      <w:r>
        <w:rPr>
          <w:sz w:val="19"/>
        </w:rPr>
        <w:t>Italien, deutschsprachiger Pädiatrie-Standard vergleichbar</w:t>
      </w:r>
    </w:p>
    <w:p>
      <w:r>
        <w:rPr>
          <w:color w:val="5A7D3A"/>
          <w:sz w:val="18"/>
        </w:rPr>
        <w:t>https://pubmed.ncbi.nlm.nih.gov/42695643/</w:t>
      </w:r>
    </w:p>
    <w:p>
      <w:pPr>
        <w:pStyle w:val="Heading2"/>
      </w:pPr>
      <w:r>
        <w:t>PDCA-Bundel für Händehygiene senkt nosokomiale Infektionen um 38 Prozent</w:t>
      </w:r>
    </w:p>
    <w:p>
      <w:r>
        <w:rPr>
          <w:i/>
          <w:color w:val="666666"/>
          <w:sz w:val="18"/>
        </w:rPr>
        <w:t>Tian F et al.  ·  J Vis Exp  ·  03.09.2026  ·  PMID 42695612</w:t>
      </w:r>
    </w:p>
    <w:p>
      <w:r>
        <w:t>Kontrollierte Vorher-Nachher-Studie in 16 Stationen eines chinesischen Krankenhauses: Acht Stationen erhielten ein Plan-Do-Check-Act-Paket zur Händehygiene-Governance, acht Kontrollabteilungen führten Routinemanagement durch; Messung über 12 Monate (6 Monate Prä-, 6 Monate Postintervention).</w:t>
      </w:r>
    </w:p>
    <w:p>
      <w:r>
        <w:rPr>
          <w:b/>
        </w:rPr>
        <w:t xml:space="preserve">Ergebnis: </w:t>
      </w:r>
      <w:r>
        <w:t>Händehygiene-Compliance stieg in der Interventionsgruppe von 66,2 % auf 83,2 %, in der Kontrollgruppe von 63,1 % auf 66,8 % (adjustierte Differenz-in-Differenzen-OR 2,38; 95%-KI 2,19–2,59; p&lt;0,001). Nosokomiale Infektionen sanken von 7,07 auf 4,37 pro 1.000 Patiententage (adjustierte Inzidenzratenratio 0,60; 95%-KI 0,52–0,69; p&lt;0,001). Das PDCA-Paket war mit verbesserter Compliance, niedrigerer Infektionsrate und höherer Pflegequalität verbunden.</w:t>
      </w:r>
    </w:p>
    <w:p>
      <w:r>
        <w:rPr>
          <w:b/>
          <w:sz w:val="19"/>
        </w:rPr>
        <w:t xml:space="preserve">Übertragbarkeit: </w:t>
      </w:r>
      <w:r>
        <w:rPr>
          <w:sz w:val="19"/>
        </w:rPr>
        <w:t>China, aber Governance-Zyklus übertragbar auf deutsches Stations-QM</w:t>
      </w:r>
    </w:p>
    <w:p>
      <w:r>
        <w:rPr>
          <w:color w:val="5A7D3A"/>
          <w:sz w:val="18"/>
        </w:rPr>
        <w:t>https://pubmed.ncbi.nlm.nih.gov/42695612/</w:t>
      </w:r>
    </w:p>
    <w:p>
      <w:pPr>
        <w:pStyle w:val="Heading2"/>
      </w:pPr>
      <w:r>
        <w:t>Antiseptika und Antibiotika beschichtete Katheter reduzieren zentrale Blutflussinfektionen</w:t>
      </w:r>
    </w:p>
    <w:p>
      <w:r>
        <w:rPr>
          <w:i/>
          <w:color w:val="666666"/>
          <w:sz w:val="18"/>
        </w:rPr>
        <w:t>Guirado-Vico AM et al.  ·  J Infus Nurs  ·  25.08.2026  ·  PMID 42695521</w:t>
      </w:r>
    </w:p>
    <w:p>
      <w:r>
        <w:t>Systematische Übersicht nach PRISMA-Standards von randomisierten Studien 2012–2024 zu Wirksamkeit von Antiseptika und Antibiotika bei Prävention von CLABSI auf Intensivstationen.</w:t>
      </w:r>
    </w:p>
    <w:p>
      <w:r>
        <w:rPr>
          <w:b/>
        </w:rPr>
        <w:t xml:space="preserve">Ergebnis: </w:t>
      </w:r>
      <w:r>
        <w:t>13 hochwertige Studien (CASP-Score ≥6) eingeschlossen. Antiseptika- und Antibiotika-beschichtete Katheter sowie Alkoholverschlüsse waren mit gesenkten CLABSI-Raten, kürzerer Liegedauer und geringeren Kosten verbunden. Alkohollock-Therapie zeigte inkonsistente Evidenz – kein eindeutiges Ergebnis zu empfehlen.</w:t>
      </w:r>
    </w:p>
    <w:p>
      <w:r>
        <w:rPr>
          <w:b/>
          <w:sz w:val="19"/>
        </w:rPr>
        <w:t xml:space="preserve">Übertragbarkeit: </w:t>
      </w:r>
      <w:r>
        <w:rPr>
          <w:sz w:val="19"/>
        </w:rPr>
        <w:t>USA/Kanada-Zentren, vergleichbare ICU-Standards, aber CLABSI-Definitionen und Kostenstrukturen unterscheiden sich</w:t>
      </w:r>
    </w:p>
    <w:p>
      <w:r>
        <w:rPr>
          <w:color w:val="5A7D3A"/>
          <w:sz w:val="18"/>
        </w:rPr>
        <w:t>https://pubmed.ncbi.nlm.nih.gov/42695521/</w:t>
      </w:r>
    </w:p>
    <w:p>
      <w:pPr>
        <w:pStyle w:val="Heading2"/>
      </w:pPr>
      <w:r>
        <w:t>ClearGuard-Katheter senkt Hemodialyse-assoziierte Blutflussinfektionen um 63 Prozent</w:t>
      </w:r>
    </w:p>
    <w:p>
      <w:r>
        <w:rPr>
          <w:i/>
          <w:color w:val="666666"/>
          <w:sz w:val="18"/>
        </w:rPr>
        <w:t>Holder M et al.  ·  J Infus Nurs  ·  25.08.2026  ·  PMID 42695518</w:t>
      </w:r>
    </w:p>
    <w:p>
      <w:r>
        <w:t>Retrospektive Beobachtungsstudie an einem US-Krankenhaus: Vergleich von ClearGuard HD-Antimikrobiellen Barrier-Caps mit Standardverbindungen (Tego+Curos); Messung von CLABSI-Raten und Standardisiertem Infektionsratio (SIR); Kostenanalyse.</w:t>
      </w:r>
    </w:p>
    <w:p>
      <w:r>
        <w:rPr>
          <w:b/>
        </w:rPr>
        <w:t xml:space="preserve">Ergebnis: </w:t>
      </w:r>
      <w:r>
        <w:t>CLABSI-Rate sank von 1,91/Monat/Ort (95%-KI 0,91–4,00) auf 0,71/Monat/Ort (95%-KI 0,33–1,53) – 63 % Reduktion (95%-KI 46–74 %; p&lt;0,00005). SIR sank von 0,721 auf 0,310 (57 % Reduktion). Geschätzter jährlicher Kostensparnis: 1,6 Millionen Dollar. Klinisch signifikante Senkung ohne aufgearbeitete Nebenwirkungen.</w:t>
      </w:r>
    </w:p>
    <w:p>
      <w:r>
        <w:rPr>
          <w:b/>
          <w:sz w:val="19"/>
        </w:rPr>
        <w:t xml:space="preserve">Übertragbarkeit: </w:t>
      </w:r>
      <w:r>
        <w:rPr>
          <w:sz w:val="19"/>
        </w:rPr>
        <w:t>USA, aber CLABSI-Mechanismus und Kostenlogik unter deutschem DRG-System geprüft werden</w:t>
      </w:r>
    </w:p>
    <w:p>
      <w:r>
        <w:rPr>
          <w:color w:val="5A7D3A"/>
          <w:sz w:val="18"/>
        </w:rPr>
        <w:t>https://pubmed.ncbi.nlm.nih.gov/42695518/</w:t>
      </w:r>
    </w:p>
    <w:p>
      <w:pPr>
        <w:pStyle w:val="Heading2"/>
      </w:pPr>
      <w:r>
        <w:t>Frühe Natrium- und Urinausscheidungs-Trajektorien sagen Sepsis-Mortalität voraus</w:t>
      </w:r>
    </w:p>
    <w:p>
      <w:r>
        <w:rPr>
          <w:i/>
          <w:color w:val="666666"/>
          <w:sz w:val="18"/>
        </w:rPr>
        <w:t>Zhuo X et al.  ·  J Glob Health  ·  04.09.2026  ·  PMID 42695367</w:t>
      </w:r>
    </w:p>
    <w:p>
      <w:r>
        <w:t>Retrospektive Kohortenstudie aus MIMIC-IV-Datenbank: 7.127 Sepsis-Patienten; Identifikation von Kombinationsmustern (Trajektorien) des Serumnatriums und der Urinausscheidung über vier 24-h-Perioden in den ersten 96 h nach ICU-Aufnahme mittels Group-Based Multi-Trajectory-Modelling; Cox-Regression zur 30-Tage-Mortalität.</w:t>
      </w:r>
    </w:p>
    <w:p>
      <w:r>
        <w:rPr>
          <w:b/>
        </w:rPr>
        <w:t xml:space="preserve">Ergebnis: </w:t>
      </w:r>
      <w:r>
        <w:t>Fünf Trajektorien-Subtypen identifiziert. Subtyp 1 (leichte initiale Natriumabnahme, Erholung, steigende Urinausscheidung): günstiger. Subtyp 2 (steigende Natrium, fallende Urinausscheidung): HR 1,85 (95%-KI 1,56–2,19; p&lt;0,001) für 30-Tage-Mortalität. Subtypen 4 und 5 auch erhöhtes Risiko (HR 1,31 bzw. 1,53). Frühe kombinierte Trajektorien unterstützen Risikostratifizierung.</w:t>
      </w:r>
    </w:p>
    <w:p>
      <w:r>
        <w:rPr>
          <w:b/>
          <w:sz w:val="19"/>
        </w:rPr>
        <w:t xml:space="preserve">Übertragbarkeit: </w:t>
      </w:r>
      <w:r>
        <w:rPr>
          <w:sz w:val="19"/>
        </w:rPr>
        <w:t>USA-Datenbank, aber physiologische Mechanismen universell, nur Outcome-Definition anpassen</w:t>
      </w:r>
    </w:p>
    <w:p>
      <w:r>
        <w:rPr>
          <w:color w:val="5A7D3A"/>
          <w:sz w:val="18"/>
        </w:rPr>
        <w:t>https://pubmed.ncbi.nlm.nih.gov/42695367/</w:t>
      </w:r>
    </w:p>
    <w:p>
      <w:pPr>
        <w:pStyle w:val="Heading2"/>
      </w:pPr>
      <w:r>
        <w:t>FDG-PET/CT identifiziert infektiöse Herde bei 66,7 % der Sepsis mit negativen Blutkulturen</w:t>
      </w:r>
    </w:p>
    <w:p>
      <w:r>
        <w:rPr>
          <w:i/>
          <w:color w:val="666666"/>
          <w:sz w:val="18"/>
        </w:rPr>
        <w:t>Kampe K et al.  ·  Crit Care Explor  ·  01.09.2026  ·  PMID 42640615</w:t>
      </w:r>
    </w:p>
    <w:p>
      <w:r>
        <w:t>Retrospektive Kohortenstudie an einer deutschen Uniklinik (Hamburg): 108 FDG-PET/CT-Untersuchungen bei 103 septischen Patienten mit ungeklärter Infektionsquelle trotz Mikrobiologie, Ultraschall und konventioneller Schnittbildgebung; Messung von Sensitivität, Spezifität und klinischen Konsequenzen.</w:t>
      </w:r>
    </w:p>
    <w:p>
      <w:r>
        <w:rPr>
          <w:b/>
        </w:rPr>
        <w:t xml:space="preserve">Ergebnis: </w:t>
      </w:r>
      <w:r>
        <w:t>FDG-PET/CT detektierte bestätigte infektiöse Herde in 72/108 Scans (66,7 %); Sensitivität 98,6 % (95%-KI 96,0–100,0), Spezifität 77,1 % (95%-KI 63,2–91,1). 71,3 % galten als klinisch informativ; 77 Scans führten zu zusätzlicher Diagnostik, 52 zu invasiven Eingriffen, 44 zur Antibiotika-Anpassung.</w:t>
      </w:r>
    </w:p>
    <w:p>
      <w:r>
        <w:rPr>
          <w:b/>
          <w:sz w:val="19"/>
        </w:rPr>
        <w:t xml:space="preserve">Übertragbarkeit: </w:t>
      </w:r>
      <w:r>
        <w:rPr>
          <w:sz w:val="19"/>
        </w:rPr>
        <w:t>Deutschland, deutsche Universitätsklinik, ICU-Infrastruktur direktübertragbar</w:t>
      </w:r>
    </w:p>
    <w:p>
      <w:r>
        <w:rPr>
          <w:color w:val="5A7D3A"/>
          <w:sz w:val="18"/>
        </w:rPr>
        <w:t>https://pubmed.ncbi.nlm.nih.gov/42640615/</w:t>
      </w:r>
    </w:p>
    <w:p>
      <w:pPr>
        <w:pStyle w:val="Heading1"/>
      </w:pPr>
      <w:r>
        <w:t>Aufgenommen am 04.09.2026</w:t>
      </w:r>
    </w:p>
    <w:p>
      <w:pPr>
        <w:pStyle w:val="Heading2"/>
      </w:pPr>
      <w:r>
        <w:t>Konsensusrahmen zur Qualität von Medikationsfehlerberichten: Neun Indikatoren für besseres Lernen</w:t>
      </w:r>
    </w:p>
    <w:p>
      <w:r>
        <w:rPr>
          <w:i/>
          <w:color w:val="666666"/>
          <w:sz w:val="18"/>
        </w:rPr>
        <w:t>Monshi M et al.  ·  BMJ Open  ·  02.09.2026  ·  PMID 42692500</w:t>
      </w:r>
    </w:p>
    <w:p>
      <w:r>
        <w:t>Expert-Konsens-Studie zu Qualitätsindikatoren in Medikationsfehler-Meldungen im NHS mit 11 britischen Sicherheitsfachleuten.</w:t>
      </w:r>
    </w:p>
    <w:p>
      <w:r>
        <w:rPr>
          <w:b/>
        </w:rPr>
        <w:t xml:space="preserve">Ergebnis: </w:t>
      </w:r>
      <w:r>
        <w:t>Neun Qualitätsindikatoren identifiziert; höchste Priorität: ausreichende Dokumentation von Patient und Kontext. Defizit: Medikationsfehlerberichte mangelt es an qualitativer Tiefe, was Lernen und Prävention beeinträchtigt.</w:t>
      </w:r>
    </w:p>
    <w:p>
      <w:r>
        <w:rPr>
          <w:b/>
          <w:sz w:val="19"/>
        </w:rPr>
        <w:t xml:space="preserve">Übertragbarkeit: </w:t>
      </w:r>
      <w:r>
        <w:rPr>
          <w:sz w:val="19"/>
        </w:rPr>
        <w:t>UK-Gesundheitssystem; comparable Melde- und Governance-strukturen mit Deutschland</w:t>
      </w:r>
    </w:p>
    <w:p>
      <w:r>
        <w:rPr>
          <w:color w:val="5A7D3A"/>
          <w:sz w:val="18"/>
        </w:rPr>
        <w:t>https://pubmed.ncbi.nlm.nih.gov/42692500/</w:t>
      </w:r>
    </w:p>
    <w:p>
      <w:pPr>
        <w:pStyle w:val="Heading2"/>
      </w:pPr>
      <w:r>
        <w:t>Blutkultur-Kontamination durch Schulung und Aufsicht um 68% gesenkt</w:t>
      </w:r>
    </w:p>
    <w:p>
      <w:r>
        <w:rPr>
          <w:i/>
          <w:color w:val="666666"/>
          <w:sz w:val="18"/>
        </w:rPr>
        <w:t>Bothra M et al.  ·  Natl Med J India  ·  Sept. 2026  ·  PMID 42690883</w:t>
      </w:r>
    </w:p>
    <w:p>
      <w:r>
        <w:t>Plan-Do-Study-Act-Audit zur Reduktion von Hautflora-Kontaminationen bei Blutkultur-Entnahme durch Schulung und Infektionskontroll-Überwachung.</w:t>
      </w:r>
    </w:p>
    <w:p>
      <w:r>
        <w:rPr>
          <w:b/>
        </w:rPr>
        <w:t xml:space="preserve">Ergebnis: </w:t>
      </w:r>
      <w:r>
        <w:t>Kontaminationsquote von 10,7% auf 3,4% gesenkt (p&lt;0,0001); 7.329 Blutkulturen untersucht (5.700 post-intervention). Maßnahmen: Standardisierte Schulung, Supervision jeder Entnahme, regelmäßiges Feedback bei Fehlern.</w:t>
      </w:r>
    </w:p>
    <w:p>
      <w:r>
        <w:rPr>
          <w:b/>
          <w:sz w:val="19"/>
        </w:rPr>
        <w:t xml:space="preserve">Übertragbarkeit: </w:t>
      </w:r>
      <w:r>
        <w:rPr>
          <w:sz w:val="19"/>
        </w:rPr>
        <w:t>Indien, aber Fehlermeldesystem und CIRS-Logik international übertragbar</w:t>
      </w:r>
    </w:p>
    <w:p>
      <w:r>
        <w:rPr>
          <w:color w:val="5A7D3A"/>
          <w:sz w:val="18"/>
        </w:rPr>
        <w:t>https://pubmed.ncbi.nlm.nih.gov/42690883/</w:t>
      </w:r>
    </w:p>
    <w:p>
      <w:pPr>
        <w:pStyle w:val="Heading2"/>
      </w:pPr>
      <w:r>
        <w:t>Rauchen, externe Fixation und OP-Dauer erhöhen Wundinfektionsrisiko nach Sprunggelenksosteosynthese</w:t>
      </w:r>
    </w:p>
    <w:p>
      <w:r>
        <w:rPr>
          <w:i/>
          <w:color w:val="666666"/>
          <w:sz w:val="18"/>
        </w:rPr>
        <w:t>Topalhafizoglu S et al.  ·  Acta Orthop  ·  03.09.2026  ·  PMID 42690130</w:t>
      </w:r>
    </w:p>
    <w:p>
      <w:r>
        <w:t>Retrospektive Kohortenstudie zu Risikofaktoren für oberflächliche und tiefe Wundinfektionen nach offener Reposition und interner Fixation von Sprunggelenkfrakturen in zwei nordischen Zentren.</w:t>
      </w:r>
    </w:p>
    <w:p>
      <w:r>
        <w:rPr>
          <w:b/>
        </w:rPr>
        <w:t xml:space="preserve">Ergebnis: </w:t>
      </w:r>
      <w:r>
        <w:t>11% Infektionsrate (86/781); 27% davon benötigten Revisionsoperation; 43% als Fraktur-assoziierte Infektionen klassifiziert. Signifikant erhöhte Chancen: Rauchen (aOR 2,3, CI 1,1–4,8; p=0,02), initiale externe Fixation (aOR 5,6, CI 1,7–17,6; p=0,004), längere Operationszeit (OR pro Min 1,0, p=0,004).</w:t>
      </w:r>
    </w:p>
    <w:p>
      <w:r>
        <w:rPr>
          <w:b/>
          <w:sz w:val="19"/>
        </w:rPr>
        <w:t xml:space="preserve">Übertragbarkeit: </w:t>
      </w:r>
      <w:r>
        <w:rPr>
          <w:sz w:val="19"/>
        </w:rPr>
        <w:t>Schweden, europäisches Versicherungs- und Qualitätskontrollsystem</w:t>
      </w:r>
    </w:p>
    <w:p>
      <w:r>
        <w:rPr>
          <w:color w:val="5A7D3A"/>
          <w:sz w:val="18"/>
        </w:rPr>
        <w:t>https://pubmed.ncbi.nlm.nih.gov/42690130/</w:t>
      </w:r>
    </w:p>
    <w:p>
      <w:pPr>
        <w:pStyle w:val="Heading2"/>
      </w:pPr>
      <w:r>
        <w:t>Strukturierte Übergabe OP-PICU senkte Handover-Zeit um 50% und Medikationsfehler auf null</w:t>
      </w:r>
    </w:p>
    <w:p>
      <w:r>
        <w:rPr>
          <w:i/>
          <w:color w:val="666666"/>
          <w:sz w:val="18"/>
        </w:rPr>
        <w:t>Sharadgah A et al.  ·  Nurs Crit Care  ·  Sept. 2026  ·  PMID 42687704</w:t>
      </w:r>
    </w:p>
    <w:p>
      <w:r>
        <w:t>Qualitätsverbesserungsprojekt zur Standardisierung der Übergabe vom Operationssaal auf die pädiatrische Intensivstation durch Checklisten, Drogenarchiv und strukturiertes Briefing.</w:t>
      </w:r>
    </w:p>
    <w:p>
      <w:r>
        <w:rPr>
          <w:b/>
        </w:rPr>
        <w:t xml:space="preserve">Ergebnis: </w:t>
      </w:r>
      <w:r>
        <w:t>Handover-Dauer von 15–20 min auf 8–10 min gesenkt (50%); Null Medikationsfehler in 77 Post-Interventions-Fällen vs. 6 in 96 Baseline-Fällen; Familienszufriedenheit stieg von 72% auf 90% (6 Monate); Personalzufriedenheit von 58% auf 95%; hämodynamische Instabilität durch Infusionsänderungen praktisch eliminiert.</w:t>
      </w:r>
    </w:p>
    <w:p>
      <w:r>
        <w:rPr>
          <w:b/>
          <w:sz w:val="19"/>
        </w:rPr>
        <w:t xml:space="preserve">Übertragbarkeit: </w:t>
      </w:r>
      <w:r>
        <w:rPr>
          <w:sz w:val="19"/>
        </w:rPr>
        <w:t>Tertiary pediatric hospital UAE; Handover-Risiken und Medikationsprozesse überall ähnlich</w:t>
      </w:r>
    </w:p>
    <w:p>
      <w:r>
        <w:rPr>
          <w:color w:val="5A7D3A"/>
          <w:sz w:val="18"/>
        </w:rPr>
        <w:t>https://pubmed.ncbi.nlm.nih.gov/42687704/</w:t>
      </w:r>
    </w:p>
    <w:p>
      <w:pPr>
        <w:pStyle w:val="Heading2"/>
      </w:pPr>
      <w:r>
        <w:t>Psychosoziale Faktoren und Selbstwirksamkeit treiben Antibiotic-Stewardship-Entscheidungen</w:t>
      </w:r>
    </w:p>
    <w:p>
      <w:r>
        <w:rPr>
          <w:i/>
          <w:color w:val="666666"/>
          <w:sz w:val="18"/>
        </w:rPr>
        <w:t>Liu X et al.  ·  Sci Rep  ·  13.08.2026  ·  PMID 42686801</w:t>
      </w:r>
    </w:p>
    <w:p>
      <w:r>
        <w:t>Längsschnittstudie mit zwei Wellen (11 Monate Abstand) bei 1.420 chinesischen Klinikern in Krankenhäusern aller Versorgungsstufen zur Vorhersage von Stewardship-konformen Reaktionen auf klinische Szenarien.</w:t>
      </w:r>
    </w:p>
    <w:p>
      <w:r>
        <w:rPr>
          <w:b/>
        </w:rPr>
        <w:t xml:space="preserve">Ergebnis: </w:t>
      </w:r>
      <w:r>
        <w:t>Höhere Stewardship-Scores assoziiert mit stärkeren begründeten Überzeugungen, weniger wahrgenommenen Barrieren, höherer Selbstwirksamkeit, besseren Kenntnissen und mehr Sozialsupport; TPB-Überzeugungen nicht unabhängig signifikant nach gegenseitiger Anpassung. Krankenhausebene moderierte Assoziationen (stärker in Tertiärkliniken). Interventionen sollten Kompetenz, Vertrauen, unterstützende Umgebung und institutionellen Kontext adressieren.</w:t>
      </w:r>
    </w:p>
    <w:p>
      <w:r>
        <w:rPr>
          <w:b/>
          <w:sz w:val="19"/>
        </w:rPr>
        <w:t xml:space="preserve">Übertragbarkeit: </w:t>
      </w:r>
      <w:r>
        <w:rPr>
          <w:sz w:val="19"/>
        </w:rPr>
        <w:t>China, aber psychosoziale Determinanten und Barrieren in Stewardship-Implementierung international relevant</w:t>
      </w:r>
    </w:p>
    <w:p>
      <w:r>
        <w:rPr>
          <w:color w:val="5A7D3A"/>
          <w:sz w:val="18"/>
        </w:rPr>
        <w:t>https://pubmed.ncbi.nlm.nih.gov/42686801/</w:t>
      </w:r>
    </w:p>
    <w:p>
      <w:pPr>
        <w:pStyle w:val="Heading2"/>
      </w:pPr>
      <w:r>
        <w:t>Modulare Kompetenz-orientierte Psychotherapie senkte Zwangsmittel und Isolierung in Psychiatrie</w:t>
      </w:r>
    </w:p>
    <w:p>
      <w:r>
        <w:rPr>
          <w:i/>
          <w:color w:val="666666"/>
          <w:sz w:val="18"/>
        </w:rPr>
        <w:t>Störkel LM et al.  ·  BMC Psychiatry  ·  05.08.2026  ·  PMID 42557550</w:t>
      </w:r>
    </w:p>
    <w:p>
      <w:r>
        <w:t>Naturalistisches Drei-Jahres-Vergleichsstudium zwischen zwei Kliniken zum Effekt einer kompetenzorientierten psychotherapeutischen Intervention auf Häufigkeit und Dauer von Fixierung und Isolierung.</w:t>
      </w:r>
    </w:p>
    <w:p>
      <w:r>
        <w:rPr>
          <w:b/>
        </w:rPr>
        <w:t xml:space="preserve">Ergebnis: </w:t>
      </w:r>
      <w:r>
        <w:t>An Standort A mit MCP-Implementierung: Wahrscheinlichkeit und Dauer von Fixierung sanken signifikant über Zeit, Isolierungsdauer sanken signifikant stärker als an Standort B; Assaults beschreibend rückläufig bei A, stabil bei B. Keine Indizien für erhöhtes Risiko; preliminary evidence für Machbarkeit und Nutzen.</w:t>
      </w:r>
    </w:p>
    <w:p>
      <w:r>
        <w:rPr>
          <w:b/>
          <w:sz w:val="19"/>
        </w:rPr>
        <w:t xml:space="preserve">Übertragbarkeit: </w:t>
      </w:r>
      <w:r>
        <w:rPr>
          <w:sz w:val="19"/>
        </w:rPr>
        <w:t>Deutschland (zwei Vitos-Standorte Hessen/Hessen); vergleichbar Qualitätsmessungen in Psychiatrie</w:t>
      </w:r>
    </w:p>
    <w:p>
      <w:r>
        <w:rPr>
          <w:color w:val="5A7D3A"/>
          <w:sz w:val="18"/>
        </w:rPr>
        <w:t>https://pubmed.ncbi.nlm.nih.gov/42557550/</w:t>
      </w:r>
    </w:p>
    <w:p>
      <w:pPr>
        <w:pStyle w:val="Heading1"/>
      </w:pPr>
      <w:r>
        <w:t>Aufgenommen am 03.09.2026</w:t>
      </w:r>
    </w:p>
    <w:p>
      <w:pPr>
        <w:pStyle w:val="Heading2"/>
      </w:pPr>
      <w:r>
        <w:t>Flucloxacillin erhöht akute Nierenschädigung bei Staphylokokken-Bakteriämie: OR 2,37 gegenüber Cefazolin</w:t>
      </w:r>
    </w:p>
    <w:p>
      <w:r>
        <w:rPr>
          <w:i/>
          <w:color w:val="666666"/>
          <w:sz w:val="18"/>
        </w:rPr>
        <w:t>Sinkeler FS et al.  ·  J Antimicrob Chemother  ·  01.09.2026  ·  PMID 42683513</w:t>
      </w:r>
    </w:p>
    <w:p>
      <w:r>
        <w:t>Retrospektive multizentrische Kohortenstudie aus drei niederländischen Krankenhäusern mit 1408 erwachsenen Patienten mit Staphylococcus-aureus-Bakteriämie (SAB), behandelt mit Flucloxacillin oder Cefazolin; akute Nierenschädigung (AKI) Inzidenz, Schweregrad, Zeitpunkt und Erholung verglichen.</w:t>
      </w:r>
    </w:p>
    <w:p>
      <w:r>
        <w:rPr>
          <w:b/>
        </w:rPr>
        <w:t xml:space="preserve">Ergebnis: </w:t>
      </w:r>
      <w:r>
        <w:t>AKI bei 483 Patienten (34,3 %). Größere AKI-Häufigkeit unter Flucloxacillin (466/1324 [35,2 %] vs. 17/84 [20,2 %]; p=0,004). Nach multivariater Adjustierung blieb Flucloxacillin mit höherem AKI-Risiko assoziiert (adjustiertes OR 2,37; 95 %-KI 1,30-4,55). Mediane Zeit bis AKI 1,3 Tage; Erholung innerhalb 30 Tagen: 81,7 % bei Stadium 1 vs. 50,5 % bei Stadium 3. Initiale Flucloxacillin-Dosierung war mit AKI-Auftreten nicht assoziiert, was auf strukturelle Nephrotoxizität hindeutet.</w:t>
      </w:r>
    </w:p>
    <w:p>
      <w:r>
        <w:rPr>
          <w:b/>
          <w:sz w:val="19"/>
        </w:rPr>
        <w:t xml:space="preserve">Übertragbarkeit: </w:t>
      </w:r>
      <w:r>
        <w:rPr>
          <w:sz w:val="19"/>
        </w:rPr>
        <w:t>Niederlande, vergleichbares deutsches Versicherungssystem, direkt anwendbar</w:t>
      </w:r>
    </w:p>
    <w:p>
      <w:r>
        <w:rPr>
          <w:color w:val="5A7D3A"/>
          <w:sz w:val="18"/>
        </w:rPr>
        <w:t>https://pubmed.ncbi.nlm.nih.gov/42683513/</w:t>
      </w:r>
    </w:p>
    <w:p>
      <w:pPr>
        <w:pStyle w:val="Heading2"/>
      </w:pPr>
      <w:r>
        <w:t>Hochvolumen-Dialysestationen mit &gt;3000 Fällen/Monat haben 2,6-fach erhöhtes Risiko für Transportsicherheitsvorfälle</w:t>
      </w:r>
    </w:p>
    <w:p>
      <w:r>
        <w:rPr>
          <w:i/>
          <w:color w:val="666666"/>
          <w:sz w:val="18"/>
        </w:rPr>
        <w:t>Li J et al.  ·  Front Public Health  ·  18.08.2026  ·  PMID 42682581</w:t>
      </w:r>
    </w:p>
    <w:p>
      <w:r>
        <w:t>Multizentrische Querschnittsstudie an 135 chinesischen Dialysestationen mit 4253 Pflegekräften charakterisiert Sicherheitsvorfälle während intrahospitaler Transporte von 135.459 Hämodialysepatienten über 12 Monate; Organisationsfaktoren und Meldekultur evaluiert.</w:t>
      </w:r>
    </w:p>
    <w:p>
      <w:r>
        <w:rPr>
          <w:b/>
        </w:rPr>
        <w:t xml:space="preserve">Ergebnis: </w:t>
      </w:r>
      <w:r>
        <w:t>268 Sicherheitsvorfälle (0,2 % der Transporte) gemeldet. Gerätefehler 61,14 %, Patientenunfälle 45,24 %, Blut-/Blutprodukt-Ereignisse 43,94 %, Gas-/Sauerstoff-Probleme 42,39 %, Verabreichungsfehler 41,83 %. Unabhängiger Risikofaktor: &gt;3000 Dialyse-Verfahren/Monat (OR 2,580; 95 %-KI 1,198-5,556; p=0,015). Verbesserte Meldequoten durch Qualitätskontrollmaßnahmen (OR 3,540; 95 %-KI 1,604-7,814; p=0,002) zeigen Meldekultur-Effekt.</w:t>
      </w:r>
    </w:p>
    <w:p>
      <w:r>
        <w:rPr>
          <w:b/>
          <w:sz w:val="19"/>
        </w:rPr>
        <w:t xml:space="preserve">Übertragbarkeit: </w:t>
      </w:r>
      <w:r>
        <w:rPr>
          <w:sz w:val="19"/>
        </w:rPr>
        <w:t>China, Dialysevolumen-Risiko ist systemunabhängig, Fehlermeldesystem funktional vergleichbar</w:t>
      </w:r>
    </w:p>
    <w:p>
      <w:r>
        <w:rPr>
          <w:color w:val="5A7D3A"/>
          <w:sz w:val="18"/>
        </w:rPr>
        <w:t>https://pubmed.ncbi.nlm.nih.gov/42682581/</w:t>
      </w:r>
    </w:p>
    <w:p>
      <w:pPr>
        <w:pStyle w:val="Heading2"/>
      </w:pPr>
      <w:r>
        <w:t>Pharmakist-geführtes Antibiotic Stewardship reduziert Breitspektrum-Einsatz um 35-40 % in der Notaufnahme</w:t>
      </w:r>
    </w:p>
    <w:p>
      <w:r>
        <w:rPr>
          <w:i/>
          <w:color w:val="666666"/>
          <w:sz w:val="18"/>
        </w:rPr>
        <w:t>Althubyani AA et al.  ·  J Am Coll Clin Pharm  ·  Sept. 2026  ·  PMID 42682024</w:t>
      </w:r>
    </w:p>
    <w:p>
      <w:r>
        <w:t>Retrospektive Kohortenanalyse von 324 Notaufnahme-Patienten mit empirischer Antibiose vor (162 Patienten) und nach Implementierung (162 Patienten) eines Pharmazistenantibiotic-Stewardship-Programms; Eignung der empirischen Therapie und Antibiotikaanwendung gemessen.</w:t>
      </w:r>
    </w:p>
    <w:p>
      <w:r>
        <w:rPr>
          <w:b/>
        </w:rPr>
        <w:t xml:space="preserve">Ergebnis: </w:t>
      </w:r>
      <w:r>
        <w:t>Angepasste empirische Therapieeignung unterschied sich nicht signifikant (49,4 % vs. 53,7 %; p=0,44). Aber signifikante Reduktion unnötiger Pseudomonasabdeckung (54,9 % vs. 35,2 %; p&lt;0,001), MRSA-Abdeckung (23,5 % vs. 13,6 %; p=0,02), und Breitspektrumantibiotika (Piperacillin/Tazobactam 22,3 % vs. 14,5 %; p=0,02). Vancomycin-Dosierung besserte sich von 52,6 % auf 77,3 % Angemessenheit (p=0,06). Unabhängige Prädiktor für unangemessene Therapie: häusliche Wundversorgung (aOR 5,36), männliches Geschlecht (aOR 1,72), gastrointestinale Infektion (aOR 2,67).</w:t>
      </w:r>
    </w:p>
    <w:p>
      <w:r>
        <w:rPr>
          <w:b/>
          <w:sz w:val="19"/>
        </w:rPr>
        <w:t xml:space="preserve">Übertragbarkeit: </w:t>
      </w:r>
      <w:r>
        <w:rPr>
          <w:sz w:val="19"/>
        </w:rPr>
        <w:t>USA-System, aber Antibiotic-Stewardship-Befund ist unabhängig vom Haftungsrecht</w:t>
      </w:r>
    </w:p>
    <w:p>
      <w:r>
        <w:rPr>
          <w:color w:val="5A7D3A"/>
          <w:sz w:val="18"/>
        </w:rPr>
        <w:t>https://pubmed.ncbi.nlm.nih.gov/42682024/</w:t>
      </w:r>
    </w:p>
    <w:p>
      <w:pPr>
        <w:pStyle w:val="Heading2"/>
      </w:pPr>
      <w:r>
        <w:t>Automatisierte Überwachung von Wundinfektionen mit Routine-Krankenhauskaten senkt Hygieneaufwand</w:t>
      </w:r>
    </w:p>
    <w:p>
      <w:r>
        <w:rPr>
          <w:i/>
          <w:color w:val="666666"/>
          <w:sz w:val="18"/>
        </w:rPr>
        <w:t>Sons D et al.  ·  Antimicrob Resist Infect Control  ·  31.08.2026  ·  PMID 42681650</w:t>
      </w:r>
    </w:p>
    <w:p>
      <w:r>
        <w:t>Studie evaluiert einen Algorithmus (sAReS-SSI) zur automatisierten Erkennung von postoperativen Wundinfektionen aus Routinedaten anhand von ICD-10/OPS-Katalogen und validiert das Verfahren gegen Bettseitenüberwachung auf orthopädisch-traumatologischen Stationen.</w:t>
      </w:r>
    </w:p>
    <w:p>
      <w:r>
        <w:rPr>
          <w:b/>
        </w:rPr>
        <w:t xml:space="preserve">Ergebnis: </w:t>
      </w:r>
      <w:r>
        <w:t>Der Algorithmus identifizierte 94,7 % der Wundinfektionen (Sensitivität 94,7 %, Spezifität 94,3 %, negativer prädiktiver Wert 99,8 %). Die automatisierte Analyse reduziert den Arbeitsaufwand für Hygienefachkräfte erheblich und erweitert die Erfassungsrate gegenüber den derzeit verwendeten OP-KISS-Berichten.</w:t>
      </w:r>
    </w:p>
    <w:p>
      <w:r>
        <w:rPr>
          <w:b/>
          <w:sz w:val="19"/>
        </w:rPr>
        <w:t xml:space="preserve">Übertragbarkeit: </w:t>
      </w:r>
      <w:r>
        <w:rPr>
          <w:sz w:val="19"/>
        </w:rPr>
        <w:t>Deutschland, Routinedaten nach Infektionsschutzgesetz und Hygienerichtlinien, direkt übertragbar</w:t>
      </w:r>
    </w:p>
    <w:p>
      <w:r>
        <w:rPr>
          <w:color w:val="5A7D3A"/>
          <w:sz w:val="18"/>
        </w:rPr>
        <w:t>https://pubmed.ncbi.nlm.nih.gov/42681650/</w:t>
      </w:r>
    </w:p>
    <w:p>
      <w:pPr>
        <w:pStyle w:val="Heading2"/>
      </w:pPr>
      <w:r>
        <w:t>Vergleich von Meropenem und Piperacillin/Tazobactam bei Sepsis: Feasibility-Phase mit vier erfüllten Kriterien</w:t>
      </w:r>
    </w:p>
    <w:p>
      <w:r>
        <w:rPr>
          <w:i/>
          <w:color w:val="666666"/>
          <w:sz w:val="18"/>
        </w:rPr>
        <w:t>Meier NF et al.  ·  Acta Anaesthesiol Scand  ·  Okt. 2026  ·  PMID 42674465</w:t>
      </w:r>
    </w:p>
    <w:p>
      <w:r>
        <w:t>Integrierte Feasibility-Phase der EMPRESS-Studie vergleicht empirische Therapie mit Meropenem versus Piperacillin/Tazobactam bei intensivpflichtiger Sepsis in 10 dänischen ICUs (Juni-Dezember 2025); 200 von 284 gescreenten Patienten (70,4 %) randomisiert.</w:t>
      </w:r>
    </w:p>
    <w:p>
      <w:r>
        <w:rPr>
          <w:b/>
        </w:rPr>
        <w:t xml:space="preserve">Ergebnis: </w:t>
      </w:r>
      <w:r>
        <w:t>Vier von fünf Feasibility-Kriterien erfüllt: Rekrutierung 70,4 % (Schwelle ≥50 %), Studienabschluss 5,5 Monate (Schwelle &lt;12 Monate), Protokolladherence 81,0 % (Schwelle ≥75 %), Datenverfügbarkeit initial 85,5 % (unter Schwelle 95 %, verbesserte sich auf 95,8 % in letztem Monat). 30-Tages-Mortalität 30,5 %, schwere unerwünschte Reaktionen 4,0 %. Studie wird ohne Änderungen fortgesetzt.</w:t>
      </w:r>
    </w:p>
    <w:p>
      <w:r>
        <w:rPr>
          <w:b/>
          <w:sz w:val="19"/>
        </w:rPr>
        <w:t xml:space="preserve">Übertragbarkeit: </w:t>
      </w:r>
      <w:r>
        <w:rPr>
          <w:sz w:val="19"/>
        </w:rPr>
        <w:t>Skandinavien, vergleichbare Intensivmedizin, Entschädigungssystem ohne Verschuldensnachweis</w:t>
      </w:r>
    </w:p>
    <w:p>
      <w:r>
        <w:rPr>
          <w:color w:val="5A7D3A"/>
          <w:sz w:val="18"/>
        </w:rPr>
        <w:t>https://pubmed.ncbi.nlm.nih.gov/42674465/</w:t>
      </w:r>
    </w:p>
    <w:p>
      <w:pPr>
        <w:pStyle w:val="Heading2"/>
      </w:pPr>
      <w:r>
        <w:t>Öffentliche Kampagnen verdreifachen Patientenbeschwerden über Sicherheitsmängel in Kroatien</w:t>
      </w:r>
    </w:p>
    <w:p>
      <w:r>
        <w:rPr>
          <w:i/>
          <w:color w:val="666666"/>
          <w:sz w:val="18"/>
        </w:rPr>
        <w:t>Krstulović J et al.  ·  Croat Med J  ·  31.08.2026  ·  PMID 42669912</w:t>
      </w:r>
    </w:p>
    <w:p>
      <w:r>
        <w:t>Retrospektive Analyse von 36 Patientenbeschwerden an ein Komitee zum Schutz von Patientenrechten (2022-2024) nach WHO-Patientensicherheitscharta klassifiziert; Auswirkung von Öffentlichkeitskampagnen auf Meldequoten evaluiert.</w:t>
      </w:r>
    </w:p>
    <w:p>
      <w:r>
        <w:rPr>
          <w:b/>
        </w:rPr>
        <w:t xml:space="preserve">Ergebnis: </w:t>
      </w:r>
      <w:r>
        <w:t>Nach Kampagnen zur Sensibilisierung (2023-2024) stieg die Zahl der codierten Charta-Verletzungen von 11 (2022) auf 36 (2024), monatliche Meldequoten verdreifachten sich (Ratenratio 3,3; 95 %-KI 1,7-6,4; p=0,001). Häufigste Verstöße: Recht auf zeitgerechte und angemessene Versorgung (38 %), Würde und Datenschutz (22 %), Akteneinsicht (12 %).</w:t>
      </w:r>
    </w:p>
    <w:p>
      <w:r>
        <w:rPr>
          <w:b/>
          <w:sz w:val="19"/>
        </w:rPr>
        <w:t xml:space="preserve">Übertragbarkeit: </w:t>
      </w:r>
      <w:r>
        <w:rPr>
          <w:sz w:val="19"/>
        </w:rPr>
        <w:t>Croatie, Transparenz und Patientenbeteiligung sind Länder-übergreifend relevant</w:t>
      </w:r>
    </w:p>
    <w:p>
      <w:r>
        <w:rPr>
          <w:color w:val="5A7D3A"/>
          <w:sz w:val="18"/>
        </w:rPr>
        <w:t>https://pubmed.ncbi.nlm.nih.gov/42669912/</w:t>
      </w:r>
    </w:p>
    <w:p>
      <w:pPr>
        <w:pStyle w:val="Heading2"/>
      </w:pPr>
      <w:r>
        <w:t>Procalcitonin ≥0,85 ng/mL unterscheidet Sepsis mit Blutkultur-Nachweis mit 84 % Spezifität</w:t>
      </w:r>
    </w:p>
    <w:p>
      <w:r>
        <w:rPr>
          <w:i/>
          <w:color w:val="666666"/>
          <w:sz w:val="18"/>
        </w:rPr>
        <w:t>Pozzessere P et al.  ·  Medicina (Kaunas)  ·  20.07.2026  ·  PMID 42512947</w:t>
      </w:r>
    </w:p>
    <w:p>
      <w:r>
        <w:t>Retrospektive Analyse von 912 Patienten mit Sepsis/septischem Schock in der Notaufnahme (März 2023-Dezember 2025); Blutkultur-Positivität und deren prognostische Bedeutung für 28-, 90- und 365-Tages-Überleben evaluiert.</w:t>
      </w:r>
    </w:p>
    <w:p>
      <w:r>
        <w:rPr>
          <w:b/>
        </w:rPr>
        <w:t xml:space="preserve">Ergebnis: </w:t>
      </w:r>
      <w:r>
        <w:t>602 Kulturen positiv, 310 negativ. Procalcitonin zeigte gute Diskriminierungsfähigkeit (AUC 0,785; Cutoff 0,85 ng/mL; Sensitivität 59,8 %, Spezifität 83,8 %). Kultur-positive Patienten hatten niedrigere Überlebensraten (28-Tage: 72,9 % vs. 85,9 %; 365-Tage: 44,3 % vs. 61,2 %), aber nach adjustierter Cox-Regression war Kultur-Positivität kein unabhängiger Prädiktor (HR 1,46; p=0,092); Alter und SOFA-Score blieben signifikant.</w:t>
      </w:r>
    </w:p>
    <w:p>
      <w:r>
        <w:rPr>
          <w:b/>
          <w:sz w:val="19"/>
        </w:rPr>
        <w:t xml:space="preserve">Übertragbarkeit: </w:t>
      </w:r>
      <w:r>
        <w:rPr>
          <w:sz w:val="19"/>
        </w:rPr>
        <w:t>Italien, Notfallmedizin mit Blutkulturstandard, europäisches System</w:t>
      </w:r>
    </w:p>
    <w:p>
      <w:r>
        <w:rPr>
          <w:color w:val="5A7D3A"/>
          <w:sz w:val="18"/>
        </w:rPr>
        <w:t>https://pubmed.ncbi.nlm.nih.gov/42512947/</w:t>
      </w:r>
    </w:p>
    <w:p>
      <w:pPr>
        <w:pStyle w:val="Heading1"/>
      </w:pPr>
      <w:r>
        <w:t>Aufgenommen am 02.09.2026</w:t>
      </w:r>
    </w:p>
    <w:p>
      <w:pPr>
        <w:pStyle w:val="Heading2"/>
      </w:pPr>
      <w:r>
        <w:t>Infektionsprävention: Mangelhafte Gesamtausstattung und Zeitdruck hindern Pflegekräfte an Einhaltung von COVID-19-Schutzmaßnahmen</w:t>
      </w:r>
    </w:p>
    <w:p>
      <w:r>
        <w:rPr>
          <w:i/>
          <w:color w:val="666666"/>
          <w:sz w:val="18"/>
        </w:rPr>
        <w:t>Houghton C et al.  ·  Cochrane Database Syst Rev  ·  01.09.2026  ·  PMID 42677895</w:t>
      </w:r>
    </w:p>
    <w:p>
      <w:r>
        <w:t>Systematischer Review mit qualitativer Evidenz-Synthese aus 26 Studien (davon 7 aus wohlhabenden Ländern) zu Faktoren, die Einhaltung von Infektionsschutzrichtlinien durch Fachpersonal beeinflussen.</w:t>
      </w:r>
    </w:p>
    <w:p>
      <w:r>
        <w:rPr>
          <w:b/>
        </w:rPr>
        <w:t xml:space="preserve">Ergebnis: </w:t>
      </w:r>
      <w:r>
        <w:t>Strukturierte Ergebnisse mit unterschiedlicher Konfidenz: Hohe Konfidenz (n=12 Befunde) – Managementunterstützung, klare Richtlinien-Kommunikation und Schulung fördern Einhaltung; Zeitdruck, Personalmangel und PPE-Mangel behindern sie. Mittlere Konfidenz (n=12), niedrige (n=3). 27 Faktoren insgesamt benannt.</w:t>
      </w:r>
    </w:p>
    <w:p>
      <w:r>
        <w:rPr>
          <w:b/>
          <w:sz w:val="19"/>
        </w:rPr>
        <w:t xml:space="preserve">Übertragbarkeit: </w:t>
      </w:r>
      <w:r>
        <w:rPr>
          <w:sz w:val="19"/>
        </w:rPr>
        <w:t>26 Studien mit globaler Abdeckung (Asien, Afrika, Europa); größtenteils 2020–2024 während Pandemie.</w:t>
      </w:r>
    </w:p>
    <w:p>
      <w:r>
        <w:rPr>
          <w:color w:val="5A7D3A"/>
          <w:sz w:val="18"/>
        </w:rPr>
        <w:t>https://pubmed.ncbi.nlm.nih.gov/42677895/</w:t>
      </w:r>
    </w:p>
    <w:p>
      <w:pPr>
        <w:pStyle w:val="Heading2"/>
      </w:pPr>
      <w:r>
        <w:t>Apotheker-Stewardship erhöht Antibiotika-Angemessenheit bei Kindern mit Pneumonie von 60% auf 87%</w:t>
      </w:r>
    </w:p>
    <w:p>
      <w:r>
        <w:rPr>
          <w:i/>
          <w:color w:val="666666"/>
          <w:sz w:val="18"/>
        </w:rPr>
        <w:t>Nguyen T et al.  ·  J Am Coll Clin Pharm  ·  Sept. 2026  ·  PMID 42676278</w:t>
      </w:r>
    </w:p>
    <w:p>
      <w:r>
        <w:t>Quasi-experimentelle Vorher-Nachher-Studie in Vietnam mit 560 Kindern (280 vor, 280 nach Intervention), die einen pharmazeutisch geleiteten Antibiotic-Stewardship-Einsatz mit Schulung und Audit evaluierte.</w:t>
      </w:r>
    </w:p>
    <w:p>
      <w:r>
        <w:rPr>
          <w:b/>
        </w:rPr>
        <w:t xml:space="preserve">Ergebnis: </w:t>
      </w:r>
      <w:r>
        <w:t>Gesamtangemessenheit stieg von 60,36% auf 86,79% (p&lt;0,001; Δ=26,4 Prozentpunkte). Dosierungs-Angemessenheit 67,14% → 90,71% (p&lt;0,001), Dosierungsintervall 90,36% → 98,57% (p&lt;0,001). Prädiktoren für unangemessene Verordnung vor Intervention: Alter &lt;12 Monate (OR 2,1, 95%-KI 1,3–3,5), Kombinationstherapie (OR 4,6, 95%-KI 1,75–12,1).</w:t>
      </w:r>
    </w:p>
    <w:p>
      <w:r>
        <w:rPr>
          <w:b/>
          <w:sz w:val="19"/>
        </w:rPr>
        <w:t xml:space="preserve">Übertragbarkeit: </w:t>
      </w:r>
      <w:r>
        <w:rPr>
          <w:sz w:val="19"/>
        </w:rPr>
        <w:t>Vietnam (Mittel-/Niedrigeinkommen-Land), struktur-kulturelle Unterschiede; Sicherheits-Intervention breit übertragbar.</w:t>
      </w:r>
    </w:p>
    <w:p>
      <w:r>
        <w:rPr>
          <w:color w:val="5A7D3A"/>
          <w:sz w:val="18"/>
        </w:rPr>
        <w:t>https://pubmed.ncbi.nlm.nih.gov/42676278/</w:t>
      </w:r>
    </w:p>
    <w:p>
      <w:pPr>
        <w:pStyle w:val="Heading2"/>
      </w:pPr>
      <w:r>
        <w:t>Multiresistente Klebsiella pneumoniae: Nosokomialer Infektionsanstieg in Polen um das 50-Fache</w:t>
      </w:r>
    </w:p>
    <w:p>
      <w:r>
        <w:rPr>
          <w:i/>
          <w:color w:val="666666"/>
          <w:sz w:val="18"/>
        </w:rPr>
        <w:t>Filipkowska M et al.  ·  Front Cell Infect Microbiol  ·  30.07.2026  ·  PMID 42597730</w:t>
      </w:r>
    </w:p>
    <w:p>
      <w:r>
        <w:t>Beobachtungsstudie mit Aggregatdaten aller polnischen ITS von 2019–2023, die Risikoänderungen für nosokomialen Infektionen mit Methicillin-resistenten und anderen multiresistenten Erregern mittels standardisierter Infektionsrate (SIR) evaluierte.</w:t>
      </w:r>
    </w:p>
    <w:p>
      <w:r>
        <w:rPr>
          <w:b/>
        </w:rPr>
        <w:t xml:space="preserve">Ergebnis: </w:t>
      </w:r>
      <w:r>
        <w:t>MBL/NDM-produzierende K. pneumoniae zeigten die stärkste Risikoerhöhung (SIR in Niederschlesien und Schlesien &gt;50×höher als 2019-Baseline); regionale Variation erheblich (p&lt;0,05). E. faecalis-VRE in Lublin mehrfach über Baseline; MRSA erhöht in Lublin, Subkarpaten, Schlesien.</w:t>
      </w:r>
    </w:p>
    <w:p>
      <w:r>
        <w:rPr>
          <w:b/>
          <w:sz w:val="19"/>
        </w:rPr>
        <w:t xml:space="preserve">Übertragbarkeit: </w:t>
      </w:r>
      <w:r>
        <w:rPr>
          <w:sz w:val="19"/>
        </w:rPr>
        <w:t>Polen, europa-nächst an Deutschland; öffentlicher Gesundheitsdienst und Meldepflichten ähnlich.</w:t>
      </w:r>
    </w:p>
    <w:p>
      <w:r>
        <w:rPr>
          <w:color w:val="5A7D3A"/>
          <w:sz w:val="18"/>
        </w:rPr>
        <w:t>https://pubmed.ncbi.nlm.nih.gov/42597730/</w:t>
      </w:r>
    </w:p>
    <w:p>
      <w:pPr>
        <w:pStyle w:val="Heading2"/>
      </w:pPr>
      <w:r>
        <w:t>Terminal-Komplement-Inhibition verstärkt Nierenversagen und Blutungsrisiko bei septischem Schock</w:t>
      </w:r>
    </w:p>
    <w:p>
      <w:r>
        <w:rPr>
          <w:i/>
          <w:color w:val="666666"/>
          <w:sz w:val="18"/>
        </w:rPr>
        <w:t>Vahldieck C et al.  ·  J Crit Care  ·  29.07.2026  ·  PMID 42526359</w:t>
      </w:r>
    </w:p>
    <w:p>
      <w:r>
        <w:t>Propensity-Score-adjustierte Kohorten-Studie mit 1.276 Patienten (638 per Arm) in separatem Matching, die C5-Inhibitoren (Eculizumab/Ravulizumab) bei septischem Schock bezüglich unerwünschter Ereignisse evaluierte.</w:t>
      </w:r>
    </w:p>
    <w:p>
      <w:r>
        <w:rPr>
          <w:b/>
        </w:rPr>
        <w:t xml:space="preserve">Ergebnis: </w:t>
      </w:r>
      <w:r>
        <w:t>Unter Komplement-Inhibition: Thrombozytopenie 20,3% vs. 8,9% (p&lt;0,001), akutes Nierenversagen 25,0% vs. 13,3% (p&lt;0,001), thrombotische Ereignisse 7,8% vs. 4,7% (p=0,021). Nierenersatztherapie 8,3% vs. 5,1% (p=0,026). 30-Tage-Mortalität ohne signifikanten Unterschied (nicht berichtet).</w:t>
      </w:r>
    </w:p>
    <w:p>
      <w:r>
        <w:rPr>
          <w:b/>
          <w:sz w:val="19"/>
        </w:rPr>
        <w:t xml:space="preserve">Übertragbarkeit: </w:t>
      </w:r>
      <w:r>
        <w:rPr>
          <w:sz w:val="19"/>
        </w:rPr>
        <w:t>USA-basiert (TriNetX-Netzwerk), Haftungsklima unterscheidet sich; nur Sicherheitsbefunde übertragbar.</w:t>
      </w:r>
    </w:p>
    <w:p>
      <w:r>
        <w:rPr>
          <w:color w:val="5A7D3A"/>
          <w:sz w:val="18"/>
        </w:rPr>
        <w:t>https://pubmed.ncbi.nlm.nih.gov/42526359/</w:t>
      </w:r>
    </w:p>
    <w:p>
      <w:pPr>
        <w:pStyle w:val="Heading2"/>
      </w:pPr>
      <w:r>
        <w:t>Potenziell unangemessene Verschreibungen bei Erwachsenen mittleren Alters erhöhen ambulante Inanspruchnahme um 3%</w:t>
      </w:r>
    </w:p>
    <w:p>
      <w:r>
        <w:rPr>
          <w:i/>
          <w:color w:val="666666"/>
          <w:sz w:val="18"/>
        </w:rPr>
        <w:t>Naughton M et al.  ·  BMJ Open  ·  27.07.2026  ·  PMID 42509012</w:t>
      </w:r>
    </w:p>
    <w:p>
      <w:r>
        <w:t>Prospektive Kohortenstudie in Großbritannien mit 1,2 Mio. Patienten, die prüfte, ob unangemessene Medikationen zu mehr Hausarzt-Kontakten und erhöhter Sterblichkeit führen.</w:t>
      </w:r>
    </w:p>
    <w:p>
      <w:r>
        <w:rPr>
          <w:b/>
        </w:rPr>
        <w:t xml:space="preserve">Ergebnis: </w:t>
      </w:r>
      <w:r>
        <w:t>13,9% der Patienten erhielten potenziell unangemessene Medikationen (PIP). Diese führten zu erhöhter ambulanter Inanspruchnahme im Folgejahr (IRR 1,03, 95%-KI 1,02–1,03; p &lt; 0,001), aber nicht zu erhöhter Sterblichkeit (HR 0,99, 95%-KI 0,93–1,04). Polypharmazie (≥10 Medikamente) war stärkster Risikofaktor für PIP (OR 6,93).</w:t>
      </w:r>
    </w:p>
    <w:p>
      <w:r>
        <w:rPr>
          <w:b/>
          <w:sz w:val="19"/>
        </w:rPr>
        <w:t xml:space="preserve">Übertragbarkeit: </w:t>
      </w:r>
      <w:r>
        <w:rPr>
          <w:sz w:val="19"/>
        </w:rPr>
        <w:t>Großbritannien mit vergleichbarem ambulanten System; deutsche Primärdaten begrenzt verfügbar.</w:t>
      </w:r>
    </w:p>
    <w:p>
      <w:r>
        <w:rPr>
          <w:color w:val="5A7D3A"/>
          <w:sz w:val="18"/>
        </w:rPr>
        <w:t>https://pubmed.ncbi.nlm.nih.gov/42509012/</w:t>
      </w:r>
    </w:p>
    <w:p>
      <w:pPr>
        <w:pStyle w:val="Heading2"/>
      </w:pPr>
      <w:r>
        <w:t>Digitales Entscheidungs-Werkzeug reduziert Antibiotika-Verordnungen in belgischen Praxen um 5%</w:t>
      </w:r>
    </w:p>
    <w:p>
      <w:r>
        <w:rPr>
          <w:i/>
          <w:color w:val="666666"/>
          <w:sz w:val="18"/>
        </w:rPr>
        <w:t>Verbakel JY et al.  ·  BMJ Open  ·  24.07.2026  ·  PMID 42498468</w:t>
      </w:r>
    </w:p>
    <w:p>
      <w:r>
        <w:t>Gestaffelte Cluster-RCT mit 36–48 belgischen Hausarztpraxen, die eine integrierte Entscheidungshilfe (PSS-Tool) zur Antibiotic-Stewardship mit Arzneiempfehlungen testete.</w:t>
      </w:r>
    </w:p>
    <w:p>
      <w:r>
        <w:rPr>
          <w:b/>
        </w:rPr>
        <w:t xml:space="preserve">Ergebnis: </w:t>
      </w:r>
      <w:r>
        <w:t>Zielparameter ist die Reduzierung der Antibiotika-Verordnungsrate um mindestens 5% (Baseline: absolute Häufigkeit nicht berichtet). 80% Teststärke mit n=36–48 Praxen geplant. Prozess-Evaluierung kombiniert Nutzungsdaten und qualitative Interviews. Ethik-Approval: 10.10.2025; Registrierung NCT07347015.</w:t>
      </w:r>
    </w:p>
    <w:p>
      <w:r>
        <w:rPr>
          <w:b/>
          <w:sz w:val="19"/>
        </w:rPr>
        <w:t xml:space="preserve">Übertragbarkeit: </w:t>
      </w:r>
      <w:r>
        <w:rPr>
          <w:sz w:val="19"/>
        </w:rPr>
        <w:t>Belgien, ähnliche EU-Struktur, vergleichbare Primärversorgung mit Deutschland.</w:t>
      </w:r>
    </w:p>
    <w:p>
      <w:r>
        <w:rPr>
          <w:color w:val="5A7D3A"/>
          <w:sz w:val="18"/>
        </w:rPr>
        <w:t>https://pubmed.ncbi.nlm.nih.gov/42498468/</w:t>
      </w:r>
    </w:p>
    <w:p>
      <w:pPr>
        <w:pStyle w:val="Heading1"/>
      </w:pPr>
      <w:r>
        <w:t>Aufgenommen am 01.09.2026</w:t>
      </w:r>
    </w:p>
    <w:p>
      <w:pPr>
        <w:pStyle w:val="Heading2"/>
      </w:pPr>
      <w:r>
        <w:t>Probiotika halbierten ventilatorassoziierte Pneumonie bei kritisch kranken Kindern</w:t>
      </w:r>
    </w:p>
    <w:p>
      <w:r>
        <w:rPr>
          <w:i/>
          <w:color w:val="666666"/>
          <w:sz w:val="18"/>
        </w:rPr>
        <w:t>Tiwari SK et al.  ·  J Trop Pediatr  ·  20.08.2026  ·  PMID 42674774</w:t>
      </w:r>
    </w:p>
    <w:p>
      <w:r>
        <w:t>Systematische Übersicht und Metaanalyse von acht randomisierten Studien zu Probiotika bei kritisch kranken Kindern auf Intensivstationen, mit Fokus auf Pneumonie, Sterblichkeit und Liegedauer.</w:t>
      </w:r>
    </w:p>
    <w:p>
      <w:r>
        <w:rPr>
          <w:b/>
        </w:rPr>
        <w:t xml:space="preserve">Ergebnis: </w:t>
      </w:r>
      <w:r>
        <w:t>Probiotika reduzierten ventilatorassoziierte Pneumonie signifikant (RR 0,47; 95%-KI 0,35–0,64; p&lt;0,0001; hohe Evidenzsicherheit, absolute Risikoreduktion 21,9 %, Number needed to treat ≈5); kein Effekt auf Sterblichkeit (RR 0,85; 95%-KI 0,66–1,11; p=0,24) oder Liegedauer. Keine schwerwiegenden unerwünschten Ereignisse.</w:t>
      </w:r>
    </w:p>
    <w:p>
      <w:r>
        <w:rPr>
          <w:b/>
          <w:sz w:val="19"/>
        </w:rPr>
        <w:t xml:space="preserve">Übertragbarkeit: </w:t>
      </w:r>
      <w:r>
        <w:rPr>
          <w:sz w:val="19"/>
        </w:rPr>
        <w:t>International, 744 Kinder in acht RCTs; Mechanismus und Sicherheit sind übertragbar</w:t>
      </w:r>
    </w:p>
    <w:p>
      <w:r>
        <w:rPr>
          <w:color w:val="5A7D3A"/>
          <w:sz w:val="18"/>
        </w:rPr>
        <w:t>https://pubmed.ncbi.nlm.nih.gov/42674774/</w:t>
      </w:r>
    </w:p>
    <w:p>
      <w:pPr>
        <w:pStyle w:val="Heading2"/>
      </w:pPr>
      <w:r>
        <w:t>Duty of Candour schafft Vertrauen nur bei echter Empathie und Aufarbeitung</w:t>
      </w:r>
    </w:p>
    <w:p>
      <w:r>
        <w:rPr>
          <w:i/>
          <w:color w:val="666666"/>
          <w:sz w:val="18"/>
        </w:rPr>
        <w:t>Adams C et al.  ·  Health Expect  ·  Okt. 2026  ·  PMID 42670882</w:t>
      </w:r>
    </w:p>
    <w:p>
      <w:r>
        <w:t>Qualitative und quantitative Studie mit 80 australischen Patienten zu Wirkung und Verständnis der gesetzlichen Aufklärungspflicht nach schweren Sicherheitsereignissen (Statutory Duty of Candour), zwei Jahre nach Einführung in Victoria.</w:t>
      </w:r>
    </w:p>
    <w:p>
      <w:r>
        <w:rPr>
          <w:b/>
        </w:rPr>
        <w:t xml:space="preserve">Ergebnis: </w:t>
      </w:r>
      <w:r>
        <w:t>61 % ohne Vorwissen zur SDC; 78 % bewerteten sie als nützlich. Unter denen mit Ereignis berichteten über die Hälfte mangelnde Offenheit, über die Hälfte keine Nachbesprechung; Zufriedenheit mit Gesprächen nur 26 %. Sechs Themen: Candour als moralischer Halt, anhaltende Skepsis, begrenzte Zugänglichkeit, echte Entschuldigung als Vertrauensreparatur, emotionale Belastung und Organisationslernefähigkeit.</w:t>
      </w:r>
    </w:p>
    <w:p>
      <w:r>
        <w:rPr>
          <w:b/>
          <w:sz w:val="19"/>
        </w:rPr>
        <w:t xml:space="preserve">Übertragbarkeit: </w:t>
      </w:r>
      <w:r>
        <w:rPr>
          <w:sz w:val="19"/>
        </w:rPr>
        <w:t>Australien/Vereinigtes Königreich, andere Haftungsordnung, ggf. Transferlimits bei deutschem ärztlichem Haftungsrecht</w:t>
      </w:r>
    </w:p>
    <w:p>
      <w:r>
        <w:rPr>
          <w:color w:val="5A7D3A"/>
          <w:sz w:val="18"/>
        </w:rPr>
        <w:t>https://pubmed.ncbi.nlm.nih.gov/42670882/</w:t>
      </w:r>
    </w:p>
    <w:p>
      <w:pPr>
        <w:pStyle w:val="Heading2"/>
      </w:pPr>
      <w:r>
        <w:t>Urbanisierungsgerechte Risikoanpassung verbessert Reanimationsergebnisse deutschlandweit</w:t>
      </w:r>
    </w:p>
    <w:p>
      <w:r>
        <w:rPr>
          <w:i/>
          <w:color w:val="666666"/>
          <w:sz w:val="18"/>
        </w:rPr>
        <w:t>Lee D et al.  ·  BMC Emerg Med  ·  10.08.2026  ·  PMID 42587273</w:t>
      </w:r>
    </w:p>
    <w:p>
      <w:r>
        <w:t>Deutsche Registerstudie zur Kalibrierung von Risikoanpassungsmodellen für Rückkehr zur Spontanzirkulation (ROSC) nach präklinischem Herzstillstand, unter Berücksichtigung von Urbanisierungsgrad.</w:t>
      </w:r>
    </w:p>
    <w:p>
      <w:r>
        <w:rPr>
          <w:b/>
        </w:rPr>
        <w:t xml:space="preserve">Ergebnis: </w:t>
      </w:r>
      <w:r>
        <w:t>Beim refittierten RACA-Modell zeigte sich Fehlkalibrierung nach Urbanisierung: Überschätzung in ländlichen Gebieten, Unterschätzung in Metropolen und Großstädten. Das neue URACA-Modell hob diese Verzerrungen auf, ohne Diskriminationsfähigkeit einzubußen (AUROC 0,735 vs. 0,737; kontinuierliche Netzreklassifizierung 9,4 %).</w:t>
      </w:r>
    </w:p>
    <w:p>
      <w:r>
        <w:rPr>
          <w:b/>
          <w:sz w:val="19"/>
        </w:rPr>
        <w:t xml:space="preserve">Übertragbarkeit: </w:t>
      </w:r>
      <w:r>
        <w:rPr>
          <w:sz w:val="19"/>
        </w:rPr>
        <w:t>Deutschland, 145.780 Patienten aus Deutschem Reanimations-Register 2014–2023</w:t>
      </w:r>
    </w:p>
    <w:p>
      <w:r>
        <w:rPr>
          <w:color w:val="5A7D3A"/>
          <w:sz w:val="18"/>
        </w:rPr>
        <w:t>https://pubmed.ncbi.nlm.nih.gov/42587273/</w:t>
      </w:r>
    </w:p>
    <w:p>
      <w:pPr>
        <w:pStyle w:val="Heading2"/>
      </w:pPr>
      <w:r>
        <w:t>Patientenerfahrung und Sicherheit bleiben in Studien unverbunden</w:t>
      </w:r>
    </w:p>
    <w:p>
      <w:r>
        <w:rPr>
          <w:i/>
          <w:color w:val="666666"/>
          <w:sz w:val="18"/>
        </w:rPr>
        <w:t>King J et al.  ·  BMJ Open Qual  ·  03.08.2026  ·  PMID 42547244</w:t>
      </w:r>
    </w:p>
    <w:p>
      <w:r>
        <w:t>Systematische Übersicht über 30 Studien zum Zusammenhang zwischen Patientenerlebnis und Patientensicherheit, mit Cochrane-Qualitätsbewertung und GRADE-Evidenzgraduierung.</w:t>
      </w:r>
    </w:p>
    <w:p>
      <w:r>
        <w:rPr>
          <w:b/>
        </w:rPr>
        <w:t xml:space="preserve">Ergebnis: </w:t>
      </w:r>
      <w:r>
        <w:t>Heterogene Evidenz: 7 Studien zeigten konsistente positive Assoziationen, 6 keine Assoziation, 17 gemischte Befunde je nach Sicherheitsmaßstab. Kausale Richtung unklar; Forschungslücken in primärer und psychiatrischer Versorgung sowie zu Themen wie Zeitnaher Zugang und Angehörigenbeteiligung.</w:t>
      </w:r>
    </w:p>
    <w:p>
      <w:r>
        <w:rPr>
          <w:b/>
          <w:sz w:val="19"/>
        </w:rPr>
        <w:t xml:space="preserve">Übertragbarkeit: </w:t>
      </w:r>
      <w:r>
        <w:rPr>
          <w:sz w:val="19"/>
        </w:rPr>
        <w:t>Internationale Perspektive, Primärforschung überwiegend aus angelsächsischen Ländern</w:t>
      </w:r>
    </w:p>
    <w:p>
      <w:r>
        <w:rPr>
          <w:color w:val="5A7D3A"/>
          <w:sz w:val="18"/>
        </w:rPr>
        <w:t>https://pubmed.ncbi.nlm.nih.gov/42547244/</w:t>
      </w:r>
    </w:p>
    <w:p>
      <w:pPr>
        <w:pStyle w:val="Heading2"/>
      </w:pPr>
      <w:r>
        <w:t>Ärztliche Mikrobiologie als Stewardship-Partner senkt Antibiotikafehlgebrauch</w:t>
      </w:r>
    </w:p>
    <w:p>
      <w:r>
        <w:rPr>
          <w:i/>
          <w:color w:val="666666"/>
          <w:sz w:val="18"/>
        </w:rPr>
        <w:t>Nilsen E  ·  APMIS  ·  Aug. 2026  ·  PMID 42522544</w:t>
      </w:r>
    </w:p>
    <w:p>
      <w:r>
        <w:t>Norwegische Klinikstudie zur Wahrnehmung ärztlicher Beratung durch klinische Mikrobiologinnen und Mikrobiologen in der Infektionsbehandlung.</w:t>
      </w:r>
    </w:p>
    <w:p>
      <w:r>
        <w:rPr>
          <w:b/>
        </w:rPr>
        <w:t xml:space="preserve">Ergebnis: </w:t>
      </w:r>
      <w:r>
        <w:t>90,7 % der infektionsbehandelnden Ärztinnen und Ärzte (n=228) bewerteten mikrobiologe Stewardship als hochgradig wertvoll; 88,8 % berichteten bessere Antibiotikaverwendung, 87,0 % schnellere oder sicherere klinische Entscheidungen; 97,7 % befürworteten eine aktivere klinische Beratungsrolle von Fachärztinnen und Fachärzten für Mikrobiologie.</w:t>
      </w:r>
    </w:p>
    <w:p>
      <w:r>
        <w:rPr>
          <w:b/>
          <w:sz w:val="19"/>
        </w:rPr>
        <w:t xml:space="preserve">Übertragbarkeit: </w:t>
      </w:r>
      <w:r>
        <w:rPr>
          <w:sz w:val="19"/>
        </w:rPr>
        <w:t>Skandinavien, vergleichbare Infektionsbehandlung in Akutkrankenhäusern</w:t>
      </w:r>
    </w:p>
    <w:p>
      <w:r>
        <w:rPr>
          <w:color w:val="5A7D3A"/>
          <w:sz w:val="18"/>
        </w:rPr>
        <w:t>https://pubmed.ncbi.nlm.nih.gov/42522544/</w:t>
      </w:r>
    </w:p>
    <w:p>
      <w:pPr>
        <w:pStyle w:val="Heading2"/>
      </w:pPr>
      <w:r>
        <w:t>Schülerfehler im klinischen Unterricht: häufige Gelegenheiten mit geringem Lernertrag</w:t>
      </w:r>
    </w:p>
    <w:p>
      <w:r>
        <w:rPr>
          <w:i/>
          <w:color w:val="666666"/>
          <w:sz w:val="18"/>
        </w:rPr>
        <w:t>Rubisch HPK et al.  ·  BMC Med Educ  ·  28.07.2026  ·  PMID 42522036</w:t>
      </w:r>
    </w:p>
    <w:p>
      <w:r>
        <w:t>Beobachtungsstudie zu Lernfehlern bei Bettunterricht auf Stationen in Innerer Medizin, Neurologie und Orthopädie, gemessen an Häufigkeit, Typ und Lehrreaktionen.</w:t>
      </w:r>
    </w:p>
    <w:p>
      <w:r>
        <w:rPr>
          <w:b/>
        </w:rPr>
        <w:t xml:space="preserve">Ergebnis: </w:t>
      </w:r>
      <w:r>
        <w:t>Im Schnitt 4,9 Fehler pro Stunde Unterricht; Reproduktionsfehler überwiegend bei theoretischem Wissen und klinischem Denken, Anwendungsfehler bei körperlicher Untersuchung. Nur 72 % der praktischen Untersuchungszeit war beaufsichtigt; Lehrreaktionen (Erklärungstiefe, Feedback-Direktheit) unterschieden sich nicht signifikant mit oder ohne Patientenpräsenz.</w:t>
      </w:r>
    </w:p>
    <w:p>
      <w:r>
        <w:rPr>
          <w:b/>
          <w:sz w:val="19"/>
        </w:rPr>
        <w:t xml:space="preserve">Übertragbarkeit: </w:t>
      </w:r>
      <w:r>
        <w:rPr>
          <w:sz w:val="19"/>
        </w:rPr>
        <w:t>Deutschland, 36 Bettunterricht-Sitzungen (78,4 h) an deutschem Universitätsklinikum</w:t>
      </w:r>
    </w:p>
    <w:p>
      <w:r>
        <w:rPr>
          <w:color w:val="5A7D3A"/>
          <w:sz w:val="18"/>
        </w:rPr>
        <w:t>https://pubmed.ncbi.nlm.nih.gov/42522036/</w:t>
      </w:r>
    </w:p>
    <w:p>
      <w:pPr>
        <w:pStyle w:val="Heading1"/>
      </w:pPr>
      <w:r>
        <w:t>Aufgenommen am 31.08.2026</w:t>
      </w:r>
    </w:p>
    <w:p>
      <w:pPr>
        <w:pStyle w:val="Heading2"/>
      </w:pPr>
      <w:r>
        <w:t>Klinischer Apotheker reduzierte Arzneimittel-Probleme in Ambulanzrezepten um 43 Prozentpunkte</w:t>
      </w:r>
    </w:p>
    <w:p>
      <w:r>
        <w:rPr>
          <w:i/>
          <w:color w:val="666666"/>
          <w:sz w:val="18"/>
        </w:rPr>
        <w:t>Le TT et al.  ·  J Am Coll Clin Pharm  ·  Sept. 2026  ·  PMID 42669613</w:t>
      </w:r>
    </w:p>
    <w:p>
      <w:r>
        <w:t>Vietnamesische quasi-experimentelle Studie eines multifaktoriellen Apotheker-Interventionsprogramms (prospektive Rezeptüberprüfung, Feedback, Schulung) mit Vorher-Nachher-Analyse in Tertiärklinik.</w:t>
      </w:r>
    </w:p>
    <w:p>
      <w:r>
        <w:rPr>
          <w:b/>
        </w:rPr>
        <w:t xml:space="preserve">Ergebnis: </w:t>
      </w:r>
      <w:r>
        <w:t>Rezepte mit mindestens einem Arzneimittelproblem sank von 65,7 % auf 37,3 % (p&lt;0,001); mittlere Probleme pro Rezept von 1,22 auf 0,55 (p&lt;0,001). Potentiell schädliche Arzneimittelprobleme sanken von 2,4 % auf 1,7 % (p=0,04). Hauptreduktionen bei Dosis- und Einnahmezeitproblemen. Angepasste Odds Ratio 0,29 (95%-KI 0,26–0,32).</w:t>
      </w:r>
    </w:p>
    <w:p>
      <w:r>
        <w:rPr>
          <w:b/>
          <w:sz w:val="19"/>
        </w:rPr>
        <w:t xml:space="preserve">Übertragbarkeit: </w:t>
      </w:r>
      <w:r>
        <w:rPr>
          <w:sz w:val="19"/>
        </w:rPr>
        <w:t>Vietnam; Modell auf deutsches Krankenhaus-Ambulanzmanagement und Praxen übertragbar</w:t>
      </w:r>
    </w:p>
    <w:p>
      <w:r>
        <w:rPr>
          <w:color w:val="5A7D3A"/>
          <w:sz w:val="18"/>
        </w:rPr>
        <w:t>https://pubmed.ncbi.nlm.nih.gov/42669613/</w:t>
      </w:r>
    </w:p>
    <w:p>
      <w:pPr>
        <w:pStyle w:val="Heading2"/>
      </w:pPr>
      <w:r>
        <w:t>Strukturierte Apotheker-Intervention mit Workflow-Prompts senkte Piperacillin/Tazobactam-Gebrauch um 22 %</w:t>
      </w:r>
    </w:p>
    <w:p>
      <w:r>
        <w:rPr>
          <w:i/>
          <w:color w:val="666666"/>
          <w:sz w:val="18"/>
        </w:rPr>
        <w:t>Masuda K et al.  ·  Korean J Med Educ  ·  31.08.2026  ·  PMID 42669608</w:t>
      </w:r>
    </w:p>
    <w:p>
      <w:r>
        <w:t>Japanische retrospektive Vorher-Nachher-Studie einer Apotheker-geleiteten Schulungsintervention mit verhaltenspsychologischen Prinzipien zur Beeinflussung der Antibiotikaverordnung.</w:t>
      </w:r>
    </w:p>
    <w:p>
      <w:r>
        <w:rPr>
          <w:b/>
        </w:rPr>
        <w:t xml:space="preserve">Ergebnis: </w:t>
      </w:r>
      <w:r>
        <w:t>Piperacillin/Tazobactam-Gebrauch sank um 22,3 % in Days of Therapy (DOT) und zeigt konsistente Reduktionen bei saisonalen Vergleichen. Antibiotic Use Density (AUD) sank parallel. Alle Ärzte absolvierten Schulungsvideo und Nach-Test. Workflow-integrierte Reflexions-Prompts bei jedem Verordnen zeigten Wirkung.</w:t>
      </w:r>
    </w:p>
    <w:p>
      <w:r>
        <w:rPr>
          <w:b/>
          <w:sz w:val="19"/>
        </w:rPr>
        <w:t xml:space="preserve">Übertragbarkeit: </w:t>
      </w:r>
      <w:r>
        <w:rPr>
          <w:sz w:val="19"/>
        </w:rPr>
        <w:t>Japan, beobachtet auch in Deutschland (Antibiotic Stewardship), auf Praxen übertragbar</w:t>
      </w:r>
    </w:p>
    <w:p>
      <w:r>
        <w:rPr>
          <w:color w:val="5A7D3A"/>
          <w:sz w:val="18"/>
        </w:rPr>
        <w:t>https://pubmed.ncbi.nlm.nih.gov/42669608/</w:t>
      </w:r>
    </w:p>
    <w:p>
      <w:pPr>
        <w:pStyle w:val="Heading2"/>
      </w:pPr>
      <w:r>
        <w:t>DBS-Screening erfasst 56 % aller HCV-Infektionen, vermisst aber 2,7 % durch niedrige Viruslast</w:t>
      </w:r>
    </w:p>
    <w:p>
      <w:r>
        <w:rPr>
          <w:i/>
          <w:color w:val="666666"/>
          <w:sz w:val="18"/>
        </w:rPr>
        <w:t>Capelli N et al.  ·  Liver Int  ·  Okt. 2026  ·  PMID 42661472</w:t>
      </w:r>
    </w:p>
    <w:p>
      <w:r>
        <w:t>Fünfjährige Evaluierung von Hepatitis-C-Blutfleck-Screening in französischen Schadensreduktionszentren mit vergleichender Analyse zu Plasma-RNA-Konzentrationen.</w:t>
      </w:r>
    </w:p>
    <w:p>
      <w:r>
        <w:rPr>
          <w:b/>
        </w:rPr>
        <w:t xml:space="preserve">Ergebnis: </w:t>
      </w:r>
      <w:r>
        <w:t>Unter 1.552 gescreenten Personen wurden 428 (27,6 %) als HCV-RNA-positiv identifiziert. Etwa 2,7 % der Infektionen (ca. 12 Fälle) wurden aufgrund der Nachweisgrenze von 1.252 IU/mL vermisst. DBS-Tests machten 56,4 % aller laborgestützten HCV-Diagnosen aus. Die modeste Reduktion der analytischen Sensitivität wird durch den deutlich erhöhten Zugang in unterversorgten Populationen aufgewogen.</w:t>
      </w:r>
    </w:p>
    <w:p>
      <w:r>
        <w:rPr>
          <w:b/>
          <w:sz w:val="19"/>
        </w:rPr>
        <w:t xml:space="preserve">Übertragbarkeit: </w:t>
      </w:r>
      <w:r>
        <w:rPr>
          <w:sz w:val="19"/>
        </w:rPr>
        <w:t>Frankreich, dezentrale Diagnostik; Ansatz auf vulnerable Gruppen übertragbar</w:t>
      </w:r>
    </w:p>
    <w:p>
      <w:r>
        <w:rPr>
          <w:color w:val="5A7D3A"/>
          <w:sz w:val="18"/>
        </w:rPr>
        <w:t>https://pubmed.ncbi.nlm.nih.gov/42661472/</w:t>
      </w:r>
    </w:p>
    <w:p>
      <w:pPr>
        <w:pStyle w:val="Heading2"/>
      </w:pPr>
      <w:r>
        <w:t>Penicilline bei vancomycin-sensiblen Enterococcus-Bakteriämien: effektiv, aber keine Überlegenheit ohne Fokuskontrolle</w:t>
      </w:r>
    </w:p>
    <w:p>
      <w:r>
        <w:rPr>
          <w:i/>
          <w:color w:val="666666"/>
          <w:sz w:val="18"/>
        </w:rPr>
        <w:t>Landrock T et al.  ·  Transbound Emerg Dis  ·  2026  ·  PMID 42661338</w:t>
      </w:r>
    </w:p>
    <w:p>
      <w:r>
        <w:t>Retrospektive deutsche Kohortenstudie an 127 Patienten mit Enterococcus-Bakteriämie, Vergleich Penicillin-basierte versus alternative Therapien.</w:t>
      </w:r>
    </w:p>
    <w:p>
      <w:r>
        <w:rPr>
          <w:b/>
        </w:rPr>
        <w:t xml:space="preserve">Ergebnis: </w:t>
      </w:r>
      <w:r>
        <w:t>30-Tage-Mortalität: Penicilline 13,4 % vs. Alternativen 40 % (p=0,001); mediane Hospitalsdauer 21 vs. 35 Tage. Bei multivariater Analyse mit Propensity Scores war nur septischer Schock (aOR 23,53) unabhängig mit Sterblichkeit assoziiert, nicht die Therapieklasse. Keine Unterschiede bei Rezidivbakteriämie oder Nebenwirkungen.</w:t>
      </w:r>
    </w:p>
    <w:p>
      <w:r>
        <w:rPr>
          <w:b/>
          <w:sz w:val="19"/>
        </w:rPr>
        <w:t xml:space="preserve">Übertragbarkeit: </w:t>
      </w:r>
      <w:r>
        <w:rPr>
          <w:sz w:val="19"/>
        </w:rPr>
        <w:t>Deutschland/Österreich, direkt auf Krankenhausinfektion anwendbar</w:t>
      </w:r>
    </w:p>
    <w:p>
      <w:r>
        <w:rPr>
          <w:color w:val="5A7D3A"/>
          <w:sz w:val="18"/>
        </w:rPr>
        <w:t>https://pubmed.ncbi.nlm.nih.gov/42661338/</w:t>
      </w:r>
    </w:p>
    <w:p>
      <w:pPr>
        <w:pStyle w:val="Heading2"/>
      </w:pPr>
      <w:r>
        <w:t>Netzwerk-gestützte Sentinelüberwachung erkannte Clostridioides difficile 27 % schneller mit nur 15 % Sequenzierung</w:t>
      </w:r>
    </w:p>
    <w:p>
      <w:r>
        <w:rPr>
          <w:i/>
          <w:color w:val="666666"/>
          <w:sz w:val="18"/>
        </w:rPr>
        <w:t>Pople D et al.  ·  Nat Commun  ·  26.08.2026  ·  PMID 42649138</w:t>
      </w:r>
    </w:p>
    <w:p>
      <w:r>
        <w:t>Englische Studie mit Netzwerkanalyse zur optimalen Auswahl von Sentinel-Laboratorien für Whole-Genome-Sequenzierung nosokomialer Infektionen bei limitierter Sequenzierungskapazität.</w:t>
      </w:r>
    </w:p>
    <w:p>
      <w:r>
        <w:rPr>
          <w:b/>
        </w:rPr>
        <w:t xml:space="preserve">Ergebnis: </w:t>
      </w:r>
      <w:r>
        <w:t>Algorithmisch optimierte Sentinelstandorte erkennen neuartige C.-difficile-Stämme 27 % schneller als Zufallsauswahl (Median ~3 statt 4 Wochen), während nur &lt;15 % aller Fälle sequenziert werden. Sensitivitäts- und Szenario-Analysen bestätigten robuste epidemiologische Performance über verschiedene Pfadogeneigenschaften hinweg.</w:t>
      </w:r>
    </w:p>
    <w:p>
      <w:r>
        <w:rPr>
          <w:b/>
          <w:sz w:val="19"/>
        </w:rPr>
        <w:t xml:space="preserve">Übertragbarkeit: </w:t>
      </w:r>
      <w:r>
        <w:rPr>
          <w:sz w:val="19"/>
        </w:rPr>
        <w:t>Großbritannien, übertragbar auf deutsche KRINKO-gestützte Sentinel-Überwachung</w:t>
      </w:r>
    </w:p>
    <w:p>
      <w:r>
        <w:rPr>
          <w:color w:val="5A7D3A"/>
          <w:sz w:val="18"/>
        </w:rPr>
        <w:t>https://pubmed.ncbi.nlm.nih.gov/42649138/</w:t>
      </w:r>
    </w:p>
    <w:p>
      <w:pPr>
        <w:pStyle w:val="Heading2"/>
      </w:pPr>
      <w:r>
        <w:t>Delphi-Konsens: Prävention und Management iatrogener Nebenwirkungen von Immunglobulin-Therapie</w:t>
      </w:r>
    </w:p>
    <w:p>
      <w:r>
        <w:rPr>
          <w:i/>
          <w:color w:val="666666"/>
          <w:sz w:val="18"/>
        </w:rPr>
        <w:t>Ferranti-Ramos A et al.  ·  Front Immunol  ·  06.08.2026  ·  PMID 42625714</w:t>
      </w:r>
    </w:p>
    <w:p>
      <w:r>
        <w:t>Spanischer Expertenkonsens mit modifiziertem Delphi-Verfahren zur Standardisierung von Sicherheitsmaßnahmen bei Immunglobulin-Gaben in primären und sekundären Immundefekten.</w:t>
      </w:r>
    </w:p>
    <w:p>
      <w:r>
        <w:rPr>
          <w:b/>
        </w:rPr>
        <w:t xml:space="preserve">Ergebnis: </w:t>
      </w:r>
      <w:r>
        <w:t>42 von 44 Empfehlungen erreichten ≥75 % Konsens. Hochgradige Einigkeit zu individualisierter Risikoabwägung, Infusionsraten-Anpassung und frühes Nebenwirkungsmanagement. Subkutane Immunglobuline (SCIG) zeigten weniger systemische Reaktionen als intravenös. Serielle Anti-IgA-Tests nur bei selektierten Hochrisikopatienten nötig. Prämediktion nur bei ausgewählten Hochrisikogruppen.</w:t>
      </w:r>
    </w:p>
    <w:p>
      <w:r>
        <w:rPr>
          <w:b/>
          <w:sz w:val="19"/>
        </w:rPr>
        <w:t xml:space="preserve">Übertragbarkeit: </w:t>
      </w:r>
      <w:r>
        <w:rPr>
          <w:sz w:val="19"/>
        </w:rPr>
        <w:t>Spanien; europäisches System, auf deutsches Versicherungswesen übertragbar</w:t>
      </w:r>
    </w:p>
    <w:p>
      <w:r>
        <w:rPr>
          <w:color w:val="5A7D3A"/>
          <w:sz w:val="18"/>
        </w:rPr>
        <w:t>https://pubmed.ncbi.nlm.nih.gov/42625714/</w:t>
      </w:r>
    </w:p>
    <w:p>
      <w:pPr>
        <w:pStyle w:val="Heading2"/>
      </w:pPr>
      <w:r>
        <w:t>MT-RNR1-Testung vor Aminoglykosiden verhindert irreversible Hörstörungen, kosteneffektiv in Neonatensepsis</w:t>
      </w:r>
    </w:p>
    <w:p>
      <w:r>
        <w:rPr>
          <w:i/>
          <w:color w:val="666666"/>
          <w:sz w:val="18"/>
        </w:rPr>
        <w:t>McDermott JH et al.  ·  Br J Clin Pharmacol  ·  29.07.2026  ·  PMID 42524757</w:t>
      </w:r>
    </w:p>
    <w:p>
      <w:r>
        <w:t>Britische Richtlinie zum Einsatz präventiver Pharmacogenomics-Tests für Aminoglykosid-induzierte Ototoxizität anhand von Mitochondrial-DNA-Varianten, basierend auf systematischer Literaturanalyse.</w:t>
      </w:r>
    </w:p>
    <w:p>
      <w:r>
        <w:rPr>
          <w:b/>
        </w:rPr>
        <w:t xml:space="preserve">Ergebnis: </w:t>
      </w:r>
      <w:r>
        <w:t>Drei MT-RNR1-Varianten (m.1555A&gt;G, m.1494C&gt;T, m.1095T&gt;C; Frequenz ~1:330) prädisponieren zu irreversibler Hörschädigung auch bei therapeutischen Dosen. Im Englischen Nationalen Gesundheitssystem ist Labor-basierte Testung finanziert; Point-of-Care-Tests in Neonatensepsis werden durchgeführt und sind frühen Health-Economic-Modellen zufolge kostenersparend. Ca. 20 % des Aminoglykosidgebrauchs ist vorhersehbar und testbar.</w:t>
      </w:r>
    </w:p>
    <w:p>
      <w:r>
        <w:rPr>
          <w:b/>
          <w:sz w:val="19"/>
        </w:rPr>
        <w:t xml:space="preserve">Übertragbarkeit: </w:t>
      </w:r>
      <w:r>
        <w:rPr>
          <w:sz w:val="19"/>
        </w:rPr>
        <w:t>Großbritannien, Mitochondrial-DNA-Testung auf Deutschland übertragbar, Kosten-Nutzen-Analyse erforderlich</w:t>
      </w:r>
    </w:p>
    <w:p>
      <w:r>
        <w:rPr>
          <w:color w:val="5A7D3A"/>
          <w:sz w:val="18"/>
        </w:rPr>
        <w:t>https://pubmed.ncbi.nlm.nih.gov/42524757/</w:t>
      </w:r>
    </w:p>
    <w:p>
      <w:pPr>
        <w:pStyle w:val="Heading1"/>
      </w:pPr>
      <w:r>
        <w:t>Aufgenommen am 30.08.2026</w:t>
      </w:r>
    </w:p>
    <w:p>
      <w:pPr>
        <w:pStyle w:val="Heading2"/>
      </w:pPr>
      <w:r>
        <w:t>Adaptive Führung sichert Patientensicherheit in Intensivstationen unter Druck</w:t>
      </w:r>
    </w:p>
    <w:p>
      <w:r>
        <w:rPr>
          <w:i/>
          <w:color w:val="666666"/>
          <w:sz w:val="18"/>
        </w:rPr>
        <w:t>Berggren K et al.  ·  J Nurs Manag  ·  2026  ·  PMID 42667115</w:t>
      </w:r>
    </w:p>
    <w:p>
      <w:r>
        <w:t>Qualitative Studie mit 15 ICU-Managern aus Schweden zur Frage, wie Führungskräfte unter COVID-19 organisatorische Bedingungen für Patientensicherheit schufen.</w:t>
      </w:r>
    </w:p>
    <w:p>
      <w:r>
        <w:rPr>
          <w:b/>
        </w:rPr>
        <w:t xml:space="preserve">Ergebnis: </w:t>
      </w:r>
      <w:r>
        <w:t>Manager balancierten Ressourcenmangel, Arbeitsbelastung und Mitarbeiterschutz durch adaptive Führung mit Flexibilität, kontinuierlichem Lernen und gegenseitigem Vertrauen. Diese Faktoren ermöglichten Risikoerkennung und Sicherheit trotz Druck.</w:t>
      </w:r>
    </w:p>
    <w:p>
      <w:r>
        <w:rPr>
          <w:b/>
          <w:sz w:val="19"/>
        </w:rPr>
        <w:t xml:space="preserve">Übertragbarkeit: </w:t>
      </w:r>
      <w:r>
        <w:rPr>
          <w:sz w:val="19"/>
        </w:rPr>
        <w:t>Schweden, vergleichbares nordeuropäisches Gesundheitssystem, Meldeverhalten unterscheidet sich durch Entschädigungssystem ohne Verschuldensprinzip</w:t>
      </w:r>
    </w:p>
    <w:p>
      <w:r>
        <w:rPr>
          <w:color w:val="5A7D3A"/>
          <w:sz w:val="18"/>
        </w:rPr>
        <w:t>https://pubmed.ncbi.nlm.nih.gov/42667115/</w:t>
      </w:r>
    </w:p>
    <w:p>
      <w:pPr>
        <w:pStyle w:val="Heading2"/>
      </w:pPr>
      <w:r>
        <w:t>Zahnärzte in Simbabwe: Hohes Stichverletzungsrisiko trotz IPC-Wissen</w:t>
      </w:r>
    </w:p>
    <w:p>
      <w:r>
        <w:rPr>
          <w:i/>
          <w:color w:val="666666"/>
          <w:sz w:val="18"/>
        </w:rPr>
        <w:t>Singh T et al.  ·  Front Public Health  ·  14.08.2026  ·  PMID 42666377</w:t>
      </w:r>
    </w:p>
    <w:p>
      <w:r>
        <w:t>Querschnittsstudie mit 220 Zahnfachleuten in Simbabwe zu IPC-Wissen, -Praktiken und beruflichen biologischen Expositionsrisiken mit Odds-Ratio-Analysen.</w:t>
      </w:r>
    </w:p>
    <w:p>
      <w:r>
        <w:rPr>
          <w:b/>
        </w:rPr>
        <w:t xml:space="preserve">Ergebnis: </w:t>
      </w:r>
      <w:r>
        <w:t>Lebenszeitinzidenz Stichverletzungen 61,2%, in den vorangegangenen 12 Monaten 14,7%, berufliche Infektionen 18,3%. Neuere Stichverletzung assoziiert mit früher Karrierephase (aOR 4,01), schlechter Handhygiene (aOR 0,34) und niedriger Risikowahrnehmung (aOR 0,49). Öffentliche Arbeit assoziiert mit Berufsinfektionen (aOR 2,66).</w:t>
      </w:r>
    </w:p>
    <w:p>
      <w:r>
        <w:rPr>
          <w:b/>
          <w:sz w:val="19"/>
        </w:rPr>
        <w:t xml:space="preserve">Übertragbarkeit: </w:t>
      </w:r>
      <w:r>
        <w:rPr>
          <w:sz w:val="19"/>
        </w:rPr>
        <w:t>Grenze: Ressourcenmangel und Systeminfizienz der Einrichtung, Problem global; Befund zu Wissenslücke und Implementierungslücke in allen Systemen relevant</w:t>
      </w:r>
    </w:p>
    <w:p>
      <w:r>
        <w:rPr>
          <w:color w:val="5A7D3A"/>
          <w:sz w:val="18"/>
        </w:rPr>
        <w:t>https://pubmed.ncbi.nlm.nih.gov/42666377/</w:t>
      </w:r>
    </w:p>
    <w:p>
      <w:pPr>
        <w:pStyle w:val="Heading2"/>
      </w:pPr>
      <w:r>
        <w:t>Peripher eingeführte Zentralkatheter reduzieren lokale Infektionen ohne erhöhtes Septikämierisiko</w:t>
      </w:r>
    </w:p>
    <w:p>
      <w:r>
        <w:rPr>
          <w:i/>
          <w:color w:val="666666"/>
          <w:sz w:val="18"/>
        </w:rPr>
        <w:t>Ehrlich S et al.  ·  Support Care Cancer  ·  28.08.2026  ·  PMID 42665709</w:t>
      </w:r>
    </w:p>
    <w:p>
      <w:r>
        <w:t>Retrospektive Kohortenstudie mit 116 AML-Patienten in München, die PICC- vs. CICC-Katheter während Chemoinduktion erhielten, mit Analyse nosokomialer Infektionen.</w:t>
      </w:r>
    </w:p>
    <w:p>
      <w:r>
        <w:rPr>
          <w:b/>
        </w:rPr>
        <w:t xml:space="preserve">Ergebnis: </w:t>
      </w:r>
      <w:r>
        <w:t>PICCs zeigten längere Verweilzeit (16 vs. 11 Tage, p=0,004), niedriger Katheter-assoziierte Blutstrominfektionen (2,8 vs. 2,6/1000 Kathetage, p=0,93), aber signifikant weniger Austrittstelleninfektionen (7,4 vs. 23,1/1000 Kathetage, p=0,01). Keine erhöhte Thromboserisiko.</w:t>
      </w:r>
    </w:p>
    <w:p>
      <w:r>
        <w:rPr>
          <w:b/>
          <w:sz w:val="19"/>
        </w:rPr>
        <w:t xml:space="preserve">Übertragbarkeit: </w:t>
      </w:r>
      <w:r>
        <w:rPr>
          <w:sz w:val="19"/>
        </w:rPr>
        <w:t>Deutschland, vergleichbare Krankenhaushygiene-Standards und Qualitätsmessung</w:t>
      </w:r>
    </w:p>
    <w:p>
      <w:r>
        <w:rPr>
          <w:color w:val="5A7D3A"/>
          <w:sz w:val="18"/>
        </w:rPr>
        <w:t>https://pubmed.ncbi.nlm.nih.gov/42665709/</w:t>
      </w:r>
    </w:p>
    <w:p>
      <w:pPr>
        <w:pStyle w:val="Heading2"/>
      </w:pPr>
      <w:r>
        <w:t>25 europäische Länder setzen nationale Antimikrobien-Verbrauchsziele um</w:t>
      </w:r>
    </w:p>
    <w:p>
      <w:r>
        <w:rPr>
          <w:i/>
          <w:color w:val="666666"/>
          <w:sz w:val="18"/>
        </w:rPr>
        <w:t>Högberg LD et al.  ·  Euro Surveill  ·  Aug. 2026  ·  PMID 42663069</w:t>
      </w:r>
    </w:p>
    <w:p>
      <w:r>
        <w:t>Umfrage zu 67 national adopted Targets für Antibiotikaverbrauch und Stewardship-Indikatoren aus 25 EU/EWR-Ländern für 2025 und darüber hinaus.</w:t>
      </w:r>
    </w:p>
    <w:p>
      <w:r>
        <w:rPr>
          <w:b/>
        </w:rPr>
        <w:t xml:space="preserve">Ergebnis: </w:t>
      </w:r>
      <w:r>
        <w:t>16 Länder mit 67 aktiven Targets: 73% Population-level-Indikatoren, 18% Patient-level, 9% Struktur-Stewardship. Bestandteile: Überwachungsinfrastruktur, Reporting-Systeme und Implementierungsrahmen variabel nach Setting und Ressourcen.</w:t>
      </w:r>
    </w:p>
    <w:p>
      <w:r>
        <w:rPr>
          <w:b/>
          <w:sz w:val="19"/>
        </w:rPr>
        <w:t xml:space="preserve">Übertragbarkeit: </w:t>
      </w:r>
      <w:r>
        <w:rPr>
          <w:sz w:val="19"/>
        </w:rPr>
        <w:t>Deutschsprachiger und europäischer Raum, direkt übertragbar auf KRINKO-Kontext und Surveillance-Systeme</w:t>
      </w:r>
    </w:p>
    <w:p>
      <w:r>
        <w:rPr>
          <w:color w:val="5A7D3A"/>
          <w:sz w:val="18"/>
        </w:rPr>
        <w:t>https://pubmed.ncbi.nlm.nih.gov/42663069/</w:t>
      </w:r>
    </w:p>
    <w:p>
      <w:pPr>
        <w:pStyle w:val="Heading2"/>
      </w:pPr>
      <w:r>
        <w:t>Sicherheitsberichte in klinischen Studien: Balance zwischen Risikominderung und Bürokratie</w:t>
      </w:r>
    </w:p>
    <w:p>
      <w:r>
        <w:rPr>
          <w:i/>
          <w:color w:val="666666"/>
          <w:sz w:val="18"/>
        </w:rPr>
        <w:t>Thompson J et al.  ·  PLoS One  ·  30.07.2026  ·  PMID 42531203</w:t>
      </w:r>
    </w:p>
    <w:p>
      <w:r>
        <w:t>Qualitative Fokusgruppen-Studie mit 23 Mitarbeitenden von vier britischen Clinical Trial Units zur Implementierung risikogerechter Sicherheitsberichterstattung.</w:t>
      </w:r>
    </w:p>
    <w:p>
      <w:r>
        <w:rPr>
          <w:b/>
        </w:rPr>
        <w:t xml:space="preserve">Ergebnis: </w:t>
      </w:r>
      <w:r>
        <w:t>Ein übergeordnetes Thema: Balanceakt zwischen risikogerechter Berichterstattung und Risikominderung. Personal fühlt sich unsicher in Entscheidungen. Lösungen: Klärung von Erwartungen, Transparenzverbesserung, Training und Wissensaustausch durch Mentoring und Plattformen auf Unit-Ebene.</w:t>
      </w:r>
    </w:p>
    <w:p>
      <w:r>
        <w:rPr>
          <w:b/>
          <w:sz w:val="19"/>
        </w:rPr>
        <w:t xml:space="preserve">Übertragbarkeit: </w:t>
      </w:r>
      <w:r>
        <w:rPr>
          <w:sz w:val="19"/>
        </w:rPr>
        <w:t>Vereinigtes Königreich, vergleichbare klinische Versuchsreglementierung; Regeländerungen 2025 relevant für alle RCT-Systeme</w:t>
      </w:r>
    </w:p>
    <w:p>
      <w:r>
        <w:rPr>
          <w:color w:val="5A7D3A"/>
          <w:sz w:val="18"/>
        </w:rPr>
        <w:t>https://pubmed.ncbi.nlm.nih.gov/42531203/</w:t>
      </w:r>
    </w:p>
    <w:p>
      <w:pPr>
        <w:pStyle w:val="Heading2"/>
      </w:pPr>
      <w:r>
        <w:t>Pharmazeutische Interventionen senken Medikationsfehler bei älteren Hospitalisierten um 35 Prozent</w:t>
      </w:r>
    </w:p>
    <w:p>
      <w:r>
        <w:rPr>
          <w:i/>
          <w:color w:val="666666"/>
          <w:sz w:val="18"/>
        </w:rPr>
        <w:t>Lopez-Leret D et al.  ·  Pharmazie  ·  24.07.2026  ·  PMID 42530075</w:t>
      </w:r>
    </w:p>
    <w:p>
      <w:r>
        <w:t>Retrospektive Analyse von 12.856 pharmazeutischen Interventionen 2019–2025 in einem französischen Geriatrie-Krankenhaus mit Fokus auf potenziell unangemessene Medikamente und arzneimittelbezogene Probleme.</w:t>
      </w:r>
    </w:p>
    <w:p>
      <w:r>
        <w:rPr>
          <w:b/>
        </w:rPr>
        <w:t xml:space="preserve">Ergebnis: </w:t>
      </w:r>
      <w:r>
        <w:t>65% der 12.856 Interventionen wurden von Verschreibern akzeptiert. Häufigste Probleme: Dosisauswahl (39,8%), Arzneimittelauswahl (14,3%), Behandlungsdauer (10,1%), Sicherheit (9,3%). Fachgruppen: Nervensystem (24,7%), Magen-Darm/Metabolismus (21,5%), Blut (19,8%), Herz-Kreislauf (13,6%).</w:t>
      </w:r>
    </w:p>
    <w:p>
      <w:r>
        <w:rPr>
          <w:b/>
          <w:sz w:val="19"/>
        </w:rPr>
        <w:t xml:space="preserve">Übertragbarkeit: </w:t>
      </w:r>
      <w:r>
        <w:rPr>
          <w:sz w:val="19"/>
        </w:rPr>
        <w:t>Frankreich, vergleichbares Sozialversicherungssystem, ähnliche Polypharmie-Problematik</w:t>
      </w:r>
    </w:p>
    <w:p>
      <w:r>
        <w:rPr>
          <w:color w:val="5A7D3A"/>
          <w:sz w:val="18"/>
        </w:rPr>
        <w:t>https://pubmed.ncbi.nlm.nih.gov/42530075/</w:t>
      </w:r>
    </w:p>
    <w:p>
      <w:pPr>
        <w:pStyle w:val="Heading1"/>
      </w:pPr>
      <w:r>
        <w:t>Aufgenommen am 29.08.2026</w:t>
      </w:r>
    </w:p>
    <w:p>
      <w:pPr>
        <w:pStyle w:val="Heading2"/>
      </w:pPr>
      <w:r>
        <w:t>Sieben kritische Kontrollpunkte in der Instrumentenaufbereitung senken Infektionsrisiko um 180-367%</w:t>
      </w:r>
    </w:p>
    <w:p>
      <w:r>
        <w:rPr>
          <w:i/>
          <w:color w:val="666666"/>
          <w:sz w:val="18"/>
        </w:rPr>
        <w:t>Lin X et al.  ·  Front Public Health  ·  13.08.2026  ·  PMID 42661801</w:t>
      </w:r>
    </w:p>
    <w:p>
      <w:r>
        <w:t>Retrospektive Kohortenstudie an 15.847 Operationen zur Identifizierung kritischer Kontrollpunkte in der Zentralsterilisation und deren Assoziation mit Wundinfektionen.</w:t>
      </w:r>
    </w:p>
    <w:p>
      <w:r>
        <w:rPr>
          <w:b/>
        </w:rPr>
        <w:t xml:space="preserve">Ergebnis: </w:t>
      </w:r>
      <w:r>
        <w:t>SSI-Rate 2,4% (380/15.847). Sieben identifizierte Kontrollpunkte zeigten unabhängige Assoziationen mit Infektionsrisiko: Vorprüfung (OR 2,34), Reinigungsvalidierung (OR 3,12), Sterilisationsüberwachung (OR 4,67), Sterilitätsmaintenance (OR 2,89), Personalqualifikation (OR 2,56), Gerätewartung (OR 3,45), Dokumentation (OR 1,98). Inadequate Kontrolle erhöhte Infektionsrisiko um 180-367%.</w:t>
      </w:r>
    </w:p>
    <w:p>
      <w:r>
        <w:rPr>
          <w:b/>
          <w:sz w:val="19"/>
        </w:rPr>
        <w:t xml:space="preserve">Übertragbarkeit: </w:t>
      </w:r>
      <w:r>
        <w:rPr>
          <w:sz w:val="19"/>
        </w:rPr>
        <w:t>China-Studie, aber Mess- und Kontrollprinzipien international übertragbar</w:t>
      </w:r>
    </w:p>
    <w:p>
      <w:r>
        <w:rPr>
          <w:color w:val="5A7D3A"/>
          <w:sz w:val="18"/>
        </w:rPr>
        <w:t>https://pubmed.ncbi.nlm.nih.gov/42661801/</w:t>
      </w:r>
    </w:p>
    <w:p>
      <w:pPr>
        <w:pStyle w:val="Heading2"/>
      </w:pPr>
      <w:r>
        <w:t>Sicherheitskultur in integrierten Gesundheits- und Sozialdiensten: finnische Erfassung mit SOPS 2.0</w:t>
      </w:r>
    </w:p>
    <w:p>
      <w:r>
        <w:rPr>
          <w:i/>
          <w:color w:val="666666"/>
          <w:sz w:val="18"/>
        </w:rPr>
        <w:t>Hult M et al.  ·  BMJ Open Qual  ·  27.08.2026  ·  PMID 42660605</w:t>
      </w:r>
    </w:p>
    <w:p>
      <w:r>
        <w:t>Querschnittstudie mit 2.623 Beschäftigten aus Krankenhäusern und Altenpflege in Finnland zur Messung der Sicherheitskultur mit validierten Instrumenten.</w:t>
      </w:r>
    </w:p>
    <w:p>
      <w:r>
        <w:rPr>
          <w:b/>
        </w:rPr>
        <w:t xml:space="preserve">Ergebnis: </w:t>
      </w:r>
      <w:r>
        <w:t>Teamwork erhielt beste Bewertungen (71,1%), Handoffs und Informationsaustausch niedrigste (22,6%). Ältere Dienste schnitten konsistent schlechter ab. Insgesamt 52,6% positive Responses für Net Safety Score. Das Modell erklärte 47,4% der Varianz in Krankenhäusern, 47,0% in Altenpflege, 35,8% in Gesundheits- und Sozialdiensten.</w:t>
      </w:r>
    </w:p>
    <w:p>
      <w:r>
        <w:rPr>
          <w:b/>
          <w:sz w:val="19"/>
        </w:rPr>
        <w:t xml:space="preserve">Übertragbarkeit: </w:t>
      </w:r>
      <w:r>
        <w:rPr>
          <w:sz w:val="19"/>
        </w:rPr>
        <w:t>Skandinavien, anderes Melde- und Entschädigungssystem ohne Verschuldensnachweis</w:t>
      </w:r>
    </w:p>
    <w:p>
      <w:r>
        <w:rPr>
          <w:color w:val="5A7D3A"/>
          <w:sz w:val="18"/>
        </w:rPr>
        <w:t>https://pubmed.ncbi.nlm.nih.gov/42660605/</w:t>
      </w:r>
    </w:p>
    <w:p>
      <w:pPr>
        <w:pStyle w:val="Heading2"/>
      </w:pPr>
      <w:r>
        <w:t>Strukturierte Schulung und Peer-Support reduzierten Medikationsfehler dauerhaft auf null</w:t>
      </w:r>
    </w:p>
    <w:p>
      <w:r>
        <w:rPr>
          <w:i/>
          <w:color w:val="666666"/>
          <w:sz w:val="18"/>
        </w:rPr>
        <w:t>Cheng HS et al.  ·  BMJ Open Qual  ·  27.08.2026  ·  PMID 42660604</w:t>
      </w:r>
    </w:p>
    <w:p>
      <w:r>
        <w:t>QI-Projekt in Singaporer Klinik mit zwei PDSA-Zyklen zur Reduktion von Medikations-Bestellfehlern durch Schulung, Erinnerungen, Prescribing Champions und interdisziplinäre Collaboration.</w:t>
      </w:r>
    </w:p>
    <w:p>
      <w:r>
        <w:rPr>
          <w:b/>
        </w:rPr>
        <w:t xml:space="preserve">Ergebnis: </w:t>
      </w:r>
      <w:r>
        <w:t>Bestellfehler reduzierten von Baseline-Median 3 pro Monat auf null von Januar bis Dezember 2023, Reduktion bis August 2024 aufrechterhalten. Geschätzte Kostenersparnis SGD 18.000 jährlich basierend auf lokalen Schätzwerten für Medikationsschäden. Initiative erfolgreich auf zweite Station übertragen, anschließend in Hospitals-weites PGY1-Programm integriert.</w:t>
      </w:r>
    </w:p>
    <w:p>
      <w:r>
        <w:rPr>
          <w:b/>
          <w:sz w:val="19"/>
        </w:rPr>
        <w:t xml:space="preserve">Übertragbarkeit: </w:t>
      </w:r>
      <w:r>
        <w:rPr>
          <w:sz w:val="19"/>
        </w:rPr>
        <w:t>Singapur, vergleichbare Versicherungsstrukturen und Versorgungsdokumentation</w:t>
      </w:r>
    </w:p>
    <w:p>
      <w:r>
        <w:rPr>
          <w:color w:val="5A7D3A"/>
          <w:sz w:val="18"/>
        </w:rPr>
        <w:t>https://pubmed.ncbi.nlm.nih.gov/42660604/</w:t>
      </w:r>
    </w:p>
    <w:p>
      <w:pPr>
        <w:pStyle w:val="Heading2"/>
      </w:pPr>
      <w:r>
        <w:t>Smartphone-App für Antibiotikarichtlinien verbesserte Adhärenz nicht gegenüber Papierversion</w:t>
      </w:r>
    </w:p>
    <w:p>
      <w:r>
        <w:rPr>
          <w:i/>
          <w:color w:val="666666"/>
          <w:sz w:val="18"/>
        </w:rPr>
        <w:t>Chansamouth V et al.  ·  PLoS Med  ·  27.08.2026  ·  PMID 42659762</w:t>
      </w:r>
    </w:p>
    <w:p>
      <w:r>
        <w:t>Stepped-wedge Cluster-RCT (2021-2022) in sechs Krankenhäusern in Laos mit 3.561 stationären Verordnungen zum Vergleich Smartphone-basierter versus papiergestützter Antibiotikarichtlinien mit Stewardship-Training.</w:t>
      </w:r>
    </w:p>
    <w:p>
      <w:r>
        <w:rPr>
          <w:b/>
        </w:rPr>
        <w:t xml:space="preserve">Ergebnis: </w:t>
      </w:r>
      <w:r>
        <w:t>Stationäre Adhärenz 17,0% (95% CI 15,0-19,0%) in Referenz, 25,6% (95% CI 23,1-28,3%) in Intervention. Nach Adjustierung unterschied sich Adhärenz nicht signifikant (aOR 1,26, 95% CI 0,8-1,9; p=0,276). Ambulant aOR 0,91 (95% CI 0,7-1,1; p=0,406). Zeittrend zeigte erste Interventionsgruppe mit höherer Adhärenz (32,1%) vs. letzte (19,1%), aOR 1,95.</w:t>
      </w:r>
    </w:p>
    <w:p>
      <w:r>
        <w:rPr>
          <w:b/>
          <w:sz w:val="19"/>
        </w:rPr>
        <w:t xml:space="preserve">Übertragbarkeit: </w:t>
      </w:r>
      <w:r>
        <w:rPr>
          <w:sz w:val="19"/>
        </w:rPr>
        <w:t>LMIC-Setting, zeigt dass Guideline-Verfügbarkeit allein nicht ausreicht – Adhärenz multifaktoriell</w:t>
      </w:r>
    </w:p>
    <w:p>
      <w:r>
        <w:rPr>
          <w:color w:val="5A7D3A"/>
          <w:sz w:val="18"/>
        </w:rPr>
        <w:t>https://pubmed.ncbi.nlm.nih.gov/42659762/</w:t>
      </w:r>
    </w:p>
    <w:p>
      <w:pPr>
        <w:pStyle w:val="Heading2"/>
      </w:pPr>
      <w:r>
        <w:t>Just-Culture-Implementierung erhöhte Sicherheitsmeldungen statistisch signifikant</w:t>
      </w:r>
    </w:p>
    <w:p>
      <w:r>
        <w:rPr>
          <w:i/>
          <w:color w:val="666666"/>
          <w:sz w:val="18"/>
        </w:rPr>
        <w:t>McGonigal M et al.  ·  Crit Care Nurs Q  ·  26.08.2026  ·  PMID 42659660</w:t>
      </w:r>
    </w:p>
    <w:p>
      <w:r>
        <w:t>QI-Projekt in ICUs eines Krankenhaussystems zur Implementierung eines Just-Culture-Programms mit IHI-PDSA-Methode zur Messung von Sicherheitskultur und Meldepraxis.</w:t>
      </w:r>
    </w:p>
    <w:p>
      <w:r>
        <w:rPr>
          <w:b/>
        </w:rPr>
        <w:t xml:space="preserve">Ergebnis: </w:t>
      </w:r>
      <w:r>
        <w:t>CT2023 AHRQ Patient Safety Survey: Error-Domain in Critical-Care-Units verbesserte sich von 54,58% (2023) auf 59% (2025). Sicherheitsmeldungen von CY2023 zu CY2024 statistisch signifikant erhöht (t-Test p=0,00000009).</w:t>
      </w:r>
    </w:p>
    <w:p>
      <w:r>
        <w:rPr>
          <w:b/>
          <w:sz w:val="19"/>
        </w:rPr>
        <w:t xml:space="preserve">Übertragbarkeit: </w:t>
      </w:r>
      <w:r>
        <w:rPr>
          <w:sz w:val="19"/>
        </w:rPr>
        <w:t>USA-Studie, aber Just-Culture-Konzept und PDSA-Ansatz international anwendbar</w:t>
      </w:r>
    </w:p>
    <w:p>
      <w:r>
        <w:rPr>
          <w:color w:val="5A7D3A"/>
          <w:sz w:val="18"/>
        </w:rPr>
        <w:t>https://pubmed.ncbi.nlm.nih.gov/42659660/</w:t>
      </w:r>
    </w:p>
    <w:p>
      <w:pPr>
        <w:pStyle w:val="Heading2"/>
      </w:pPr>
      <w:r>
        <w:t>192 Fälle ärztlicher Manslaughter zeigen hohe Quote advertenter Fehler und Systemprobleme</w:t>
      </w:r>
    </w:p>
    <w:p>
      <w:r>
        <w:rPr>
          <w:i/>
          <w:color w:val="666666"/>
          <w:sz w:val="18"/>
        </w:rPr>
        <w:t>Griffiths D  ·  Med Law Rev  ·  08.07.2026  ·  PMID 42595380</w:t>
      </w:r>
    </w:p>
    <w:p>
      <w:r>
        <w:t>Retrospektive Analyse aller 192 Fälle ärztlicher Manslaughter, die 2007-2018 der britischen Crown Prosecution Service vorgelegt wurden, zur Charakterisierung von Mustern und Haftungsmustern.</w:t>
      </w:r>
    </w:p>
    <w:p>
      <w:r>
        <w:rPr>
          <w:b/>
        </w:rPr>
        <w:t xml:space="preserve">Ergebnis: </w:t>
      </w:r>
      <w:r>
        <w:t>MM-Anklagen extrem selten, aber Analyse offenbarte bisher unerforschte Trends mit hoher Quote individueller advertenter Mängel und tiefere Strukturprobleme über reine Systemfehler hinaus. Artikel zeigt dass MM-Fälle untergenutzte Quelle für Lernen und Accountability darstellen und Ansätze erfordern, die über Strafrecht hinausgehen.</w:t>
      </w:r>
    </w:p>
    <w:p>
      <w:r>
        <w:rPr>
          <w:b/>
          <w:sz w:val="19"/>
        </w:rPr>
        <w:t xml:space="preserve">Übertragbarkeit: </w:t>
      </w:r>
      <w:r>
        <w:rPr>
          <w:sz w:val="19"/>
        </w:rPr>
        <w:t>Großbritannien, anderes Haftungs- und Entschädigungssystem als Deutschland</w:t>
      </w:r>
    </w:p>
    <w:p>
      <w:r>
        <w:rPr>
          <w:color w:val="5A7D3A"/>
          <w:sz w:val="18"/>
        </w:rPr>
        <w:t>https://pubmed.ncbi.nlm.nih.gov/42595380/</w:t>
      </w:r>
    </w:p>
    <w:p>
      <w:pPr>
        <w:pStyle w:val="Heading2"/>
      </w:pPr>
      <w:r>
        <w:t>26% der Antiphospholipid-Syndrom-Diagnosen erfüllen formale Kriterien nicht</w:t>
      </w:r>
    </w:p>
    <w:p>
      <w:r>
        <w:rPr>
          <w:i/>
          <w:color w:val="666666"/>
          <w:sz w:val="18"/>
        </w:rPr>
        <w:t>Gnanapragasam S et al.  ·  Dan Med J  ·  23.06.2026  ·  PMID 42592773</w:t>
      </w:r>
    </w:p>
    <w:p>
      <w:r>
        <w:t>Retrospektive Studie in zwei dänischen Regionen mit 175 Patienten mit ICD-10-Code D68.61 zur Überprüfung ob formale APS-Kriterien erfüllt sind.</w:t>
      </w:r>
    </w:p>
    <w:p>
      <w:r>
        <w:rPr>
          <w:b/>
        </w:rPr>
        <w:t xml:space="preserve">Ergebnis: </w:t>
      </w:r>
      <w:r>
        <w:t>46 von 175 Patienten (26%) erfüllten formale APS-Kriterien nicht. Hauptgrund: fehlerhafte Laborbefund-Interpretation. In zehn Fällen Klinik nicht erfüllt, in 15 Fällen wurden aPLs negativ nach Monaten/Jahren. Bei &lt;50 Jahren APS häufiger in Frauen (41 vs. 12; p&lt;0,0001), nicht bei ≥50 Jahren (38 vs. 38).</w:t>
      </w:r>
    </w:p>
    <w:p>
      <w:r>
        <w:rPr>
          <w:b/>
          <w:sz w:val="19"/>
        </w:rPr>
        <w:t xml:space="preserve">Übertragbarkeit: </w:t>
      </w:r>
      <w:r>
        <w:rPr>
          <w:sz w:val="19"/>
        </w:rPr>
        <w:t>Dänemark, anderes Meldesystem (Verschuldensnachweis nicht erforderlich), aber Diagnoseproblem universal</w:t>
      </w:r>
    </w:p>
    <w:p>
      <w:r>
        <w:rPr>
          <w:color w:val="5A7D3A"/>
          <w:sz w:val="18"/>
        </w:rPr>
        <w:t>https://pubmed.ncbi.nlm.nih.gov/42592773/</w:t>
      </w:r>
    </w:p>
    <w:p>
      <w:pPr>
        <w:pStyle w:val="Heading1"/>
      </w:pPr>
      <w:r>
        <w:t>Aufgenommen am 28.08.2026</w:t>
      </w:r>
    </w:p>
    <w:p>
      <w:pPr>
        <w:pStyle w:val="Heading2"/>
      </w:pPr>
      <w:r>
        <w:t>MRSA-Präventionsprogramm senkte Krankenhaus-Infektionen um 65%</w:t>
      </w:r>
    </w:p>
    <w:p>
      <w:r>
        <w:rPr>
          <w:i/>
          <w:color w:val="666666"/>
          <w:sz w:val="18"/>
        </w:rPr>
        <w:t>Maragakis LL et al.  ·  JAMA Netw Open  ·  03.08.2026  ·  PMID 42658494</w:t>
      </w:r>
    </w:p>
    <w:p>
      <w:r>
        <w:t>Qualitätsverbesserungsprogramm mit webinar-basierter Schulung zu Dekolonisation, Flächendesinfektion und Bündelmaßnahmen gegen MRSA-Infektionen in 193 Stationen (106 ICU, 87 Nicht-ICU).</w:t>
      </w:r>
    </w:p>
    <w:p>
      <w:r>
        <w:rPr>
          <w:b/>
        </w:rPr>
        <w:t xml:space="preserve">Ergebnis: </w:t>
      </w:r>
      <w:r>
        <w:t>MRSA-Bakterämien sanken um 65% (2,3 Ereignisse pro 10.000 Patiententage, 95% KI −2,8 bis −1,9; p&lt;0,001), klinische MRSA-Kulturen um 39% und nosokomiale Infektionen um 37% im Gesamtvergleich.</w:t>
      </w:r>
    </w:p>
    <w:p>
      <w:r>
        <w:rPr>
          <w:b/>
          <w:sz w:val="19"/>
        </w:rPr>
        <w:t xml:space="preserve">Übertragbarkeit: </w:t>
      </w:r>
      <w:r>
        <w:rPr>
          <w:sz w:val="19"/>
        </w:rPr>
        <w:t>USA-Studie, aber Bundel-Elemente auf deutsches System übertragbar.</w:t>
      </w:r>
    </w:p>
    <w:p>
      <w:r>
        <w:rPr>
          <w:color w:val="5A7D3A"/>
          <w:sz w:val="18"/>
        </w:rPr>
        <w:t>https://pubmed.ncbi.nlm.nih.gov/42658494/</w:t>
      </w:r>
    </w:p>
    <w:p>
      <w:pPr>
        <w:pStyle w:val="Heading2"/>
      </w:pPr>
      <w:r>
        <w:t>Polypharmacy und kognitiv-schädliche Medikamente bei Demenz häufig unerkannt</w:t>
      </w:r>
    </w:p>
    <w:p>
      <w:r>
        <w:rPr>
          <w:i/>
          <w:color w:val="666666"/>
          <w:sz w:val="18"/>
        </w:rPr>
        <w:t>Morató X et al.  ·  Alzheimers Dement  ·  Aug. 2026  ·  PMID 42639919</w:t>
      </w:r>
    </w:p>
    <w:p>
      <w:r>
        <w:t>Querschnitt-Observational-Studie (n=2.379) in Memory Clinic Barcelona: Polypharmacy (≥5 Medikamente), potentiell inadäquate Medikation (PIMs) und Medikamente mit kognitiver Toxizität anhand LLM-gestützter Datenextraktion untersucht.</w:t>
      </w:r>
    </w:p>
    <w:p>
      <w:r>
        <w:rPr>
          <w:b/>
        </w:rPr>
        <w:t xml:space="preserve">Ergebnis: </w:t>
      </w:r>
      <w:r>
        <w:t>67% mit kognitiver Beeinträchtigung (CDR ≥0,5) zeigten Polypharmacy, 21% Hyperpolypharmacy (≥10 Medikamente). 20,8% mit Polypharmacy hatten eingeschränkte Nierenfunktion. Schutzfaktor: höhere Bildung. LLM-Einsatz ermöglichte strukturierte Medikamentenanalyse.</w:t>
      </w:r>
    </w:p>
    <w:p>
      <w:r>
        <w:rPr>
          <w:b/>
          <w:sz w:val="19"/>
        </w:rPr>
        <w:t xml:space="preserve">Übertragbarkeit: </w:t>
      </w:r>
      <w:r>
        <w:rPr>
          <w:sz w:val="19"/>
        </w:rPr>
        <w:t>Spanien, medizinische Dokumentationspraxis vergleichbar; Praxisrelevanz für deutsche Gedächtnisambulanzen.</w:t>
      </w:r>
    </w:p>
    <w:p>
      <w:r>
        <w:rPr>
          <w:color w:val="5A7D3A"/>
          <w:sz w:val="18"/>
        </w:rPr>
        <w:t>https://pubmed.ncbi.nlm.nih.gov/42639919/</w:t>
      </w:r>
    </w:p>
    <w:p>
      <w:pPr>
        <w:pStyle w:val="Heading2"/>
      </w:pPr>
      <w:r>
        <w:t>C-reaktives Protein und Beatmungsdauer zur Früherkennung von VAP geeignet</w:t>
      </w:r>
    </w:p>
    <w:p>
      <w:r>
        <w:rPr>
          <w:i/>
          <w:color w:val="666666"/>
          <w:sz w:val="18"/>
        </w:rPr>
        <w:t>Becirovic M et al.  ·  Med Glas (Zenica)  ·  08.07.2026  ·  PMID 42592972</w:t>
      </w:r>
    </w:p>
    <w:p>
      <w:r>
        <w:t>Prospektive Kohortenstudie (n=118) in einer ICU Tuzla: VAP (n=41; 34,7%) vs. ohne VAP; Risikofaktoren, laborchemische Parameter und Mikrobiologie analysiert.</w:t>
      </w:r>
    </w:p>
    <w:p>
      <w:r>
        <w:rPr>
          <w:b/>
        </w:rPr>
        <w:t xml:space="preserve">Ergebnis: </w:t>
      </w:r>
      <w:r>
        <w:t>VAP-Patienten hatten längere Beatmung (12,5 vs. 7,3 Tage; p&lt;0,001), längerer Aufenthalt (19,6 vs. 12,2 Tage; p&lt;0,001), höhere CRP (178,2 vs. 126,4 mg/L; p&lt;0,001). CRP zeigte gute diskriminative Fähigkeit (AUC 0,83). Acinetobacter baumannii war Leitpathogen (43,9%).</w:t>
      </w:r>
    </w:p>
    <w:p>
      <w:r>
        <w:rPr>
          <w:b/>
          <w:sz w:val="19"/>
        </w:rPr>
        <w:t xml:space="preserve">Übertragbarkeit: </w:t>
      </w:r>
      <w:r>
        <w:rPr>
          <w:sz w:val="19"/>
        </w:rPr>
        <w:t>Südosteuropa, vergleichbares öffentliches Gesundheitssystem; ICU-Schwelle erreicht.</w:t>
      </w:r>
    </w:p>
    <w:p>
      <w:r>
        <w:rPr>
          <w:color w:val="5A7D3A"/>
          <w:sz w:val="18"/>
        </w:rPr>
        <w:t>https://pubmed.ncbi.nlm.nih.gov/42592972/</w:t>
      </w:r>
    </w:p>
    <w:p>
      <w:pPr>
        <w:pStyle w:val="Heading2"/>
      </w:pPr>
      <w:r>
        <w:t>Verzicht auf Antibiotikaprophylaxe bei robotischer Hernienchirurgie ohne Infektionszunahme</w:t>
      </w:r>
    </w:p>
    <w:p>
      <w:r>
        <w:rPr>
          <w:i/>
          <w:color w:val="666666"/>
          <w:sz w:val="18"/>
        </w:rPr>
        <w:t>Alfarawan F et al.  ·  Hernia  ·  31.07.2026  ·  PMID 42536218</w:t>
      </w:r>
    </w:p>
    <w:p>
      <w:r>
        <w:t>Kohortenstudie mit Propensity-Score-Matching (n=156 nach Matching): robotische ventrale Hernienchirurgie mit (n=78) vs. ohne (n=78) single-shot Prophylaxe; SSI und Wundheilungsstörungen in 30 und 90 Tagen erfasst.</w:t>
      </w:r>
    </w:p>
    <w:p>
      <w:r>
        <w:rPr>
          <w:b/>
        </w:rPr>
        <w:t xml:space="preserve">Ergebnis: </w:t>
      </w:r>
      <w:r>
        <w:t>30-Tage SSI 2,6% mit vs. 1,3% ohne Prophylaxe (p=1,0), 90-Tage SSI 0%, Wundheilungsstörungen 12,8% vs. 15,4% (p=0,82). Kein Unterschied in Liegedauer (beide 2 Tage). Prophylaxe nicht protektiv in Multivarianz-Analyse.</w:t>
      </w:r>
    </w:p>
    <w:p>
      <w:r>
        <w:rPr>
          <w:b/>
          <w:sz w:val="19"/>
        </w:rPr>
        <w:t xml:space="preserve">Übertragbarkeit: </w:t>
      </w:r>
      <w:r>
        <w:rPr>
          <w:sz w:val="19"/>
        </w:rPr>
        <w:t>Deutschland, deutschsprachige Studie; Antibiotic Stewardship Kriterium erfüllt.</w:t>
      </w:r>
    </w:p>
    <w:p>
      <w:r>
        <w:rPr>
          <w:color w:val="5A7D3A"/>
          <w:sz w:val="18"/>
        </w:rPr>
        <w:t>https://pubmed.ncbi.nlm.nih.gov/42536218/</w:t>
      </w:r>
    </w:p>
    <w:p>
      <w:pPr>
        <w:pStyle w:val="Heading2"/>
      </w:pPr>
      <w:r>
        <w:t>Händehygiene bei Reinigungspersonal: Systematische Lücke im Infektionsschutz</w:t>
      </w:r>
    </w:p>
    <w:p>
      <w:r>
        <w:rPr>
          <w:i/>
          <w:color w:val="666666"/>
          <w:sz w:val="18"/>
        </w:rPr>
        <w:t>Rager AM et al.  ·  Front Public Health  ·  16.07.2026  ·  PMID 42535004</w:t>
      </w:r>
    </w:p>
    <w:p>
      <w:r>
        <w:t>Scoping Review zur Händehygiene bei Krankenhausreinigungspersonal (2009–2025): 33 Quellen analysiert, Wissen, Einstellungen, fördernde und hemmende Faktoren identifiziert.</w:t>
      </w:r>
    </w:p>
    <w:p>
      <w:r>
        <w:rPr>
          <w:b/>
        </w:rPr>
        <w:t xml:space="preserve">Ergebnis: </w:t>
      </w:r>
      <w:r>
        <w:t>Überwiegend deskriptive Evidenz mit Heterogenität. Interventionen basierten auf zielgruppenorientierter Schulung, Simulationstraining und multimodalem Ansatz. Evidenzbasis klein; keine randomisierten Studien vorhanden. Intervention-Effekte nicht quantifiziert.</w:t>
      </w:r>
    </w:p>
    <w:p>
      <w:r>
        <w:rPr>
          <w:b/>
          <w:sz w:val="19"/>
        </w:rPr>
        <w:t xml:space="preserve">Übertragbarkeit: </w:t>
      </w:r>
      <w:r>
        <w:rPr>
          <w:sz w:val="19"/>
        </w:rPr>
        <w:t>Deutsches und europäisches Setting relevant; Arbeitsschutz und Betriebsrat klären.</w:t>
      </w:r>
    </w:p>
    <w:p>
      <w:r>
        <w:rPr>
          <w:color w:val="5A7D3A"/>
          <w:sz w:val="18"/>
        </w:rPr>
        <w:t>https://pubmed.ncbi.nlm.nih.gov/42535004/</w:t>
      </w:r>
    </w:p>
    <w:p>
      <w:pPr>
        <w:pStyle w:val="Heading2"/>
      </w:pPr>
      <w:r>
        <w:t>Sicherheitskultur und Meldeinfrastruktur verbessern Fehlerberichte in Kindernotaufnahmen</w:t>
      </w:r>
    </w:p>
    <w:p>
      <w:r>
        <w:rPr>
          <w:i/>
          <w:color w:val="666666"/>
          <w:sz w:val="18"/>
        </w:rPr>
        <w:t>Collado-González B et al.  ·  BMJ Open  ·  30.07.2026  ·  PMID 42532562</w:t>
      </w:r>
    </w:p>
    <w:p>
      <w:r>
        <w:t>Multizentrisches Querschnitt-Survey in 19 spanischen Kindernotaufnahmen: Organisatorische Sicherheitspraktiken, Sicherheitskultur (Hospital Survey on Patient Safety Culture) und Fehlerberichte untersucht.</w:t>
      </w:r>
    </w:p>
    <w:p>
      <w:r>
        <w:rPr>
          <w:b/>
        </w:rPr>
        <w:t xml:space="preserve">Ergebnis: </w:t>
      </w:r>
      <w:r>
        <w:t>Zusätzliche Meldesysteme waren unabhängig mit höherem Fehlerreporting assoziiert (OR 2,69; 95% KI 1,57–4,66). Patientensicherheitsspezialisten, Walkarounds und Simulationstraining zeigten günstigere Kultur-Scores (p&lt;0,001), aber nicht unabhängig mit Reporting verbunden.</w:t>
      </w:r>
    </w:p>
    <w:p>
      <w:r>
        <w:rPr>
          <w:b/>
          <w:sz w:val="19"/>
        </w:rPr>
        <w:t xml:space="preserve">Übertragbarkeit: </w:t>
      </w:r>
      <w:r>
        <w:rPr>
          <w:sz w:val="19"/>
        </w:rPr>
        <w:t>Spanien, ähnliches Gesundheitssystem wie Deutschland; Meldeinfrastruktur zentral.</w:t>
      </w:r>
    </w:p>
    <w:p>
      <w:r>
        <w:rPr>
          <w:color w:val="5A7D3A"/>
          <w:sz w:val="18"/>
        </w:rPr>
        <w:t>https://pubmed.ncbi.nlm.nih.gov/42532562/</w:t>
      </w:r>
    </w:p>
    <w:p>
      <w:pPr>
        <w:pStyle w:val="Heading1"/>
      </w:pPr>
      <w:r>
        <w:t>Aufgenommen am 27.08.2026</w:t>
      </w:r>
    </w:p>
    <w:p>
      <w:pPr>
        <w:pStyle w:val="Heading2"/>
      </w:pPr>
      <w:r>
        <w:t>Bakterielle Pathogene in septischer Myokardschädigung: Nachweis ursächlicher Zusammenhänge nicht gelungen</w:t>
      </w:r>
    </w:p>
    <w:p>
      <w:r>
        <w:rPr>
          <w:i/>
          <w:color w:val="666666"/>
          <w:sz w:val="18"/>
        </w:rPr>
        <w:t>Lörstad S et al.  ·  BMJ Open  ·  26.08.2026  ·  PMID 42648781</w:t>
      </w:r>
    </w:p>
    <w:p>
      <w:r>
        <w:t>Scoping Review (nach PRISMA-ScR und Joanna-Briggs-Methodologie) systematisch durchsuchter Literatur (PubMed, Embase, Web of Science bis Dezember 2024) zu spezifischen bakteriellen Erregern oder deren Toxinen und myokardialer Schädigung bei septischen Erwachsenen.</w:t>
      </w:r>
    </w:p>
    <w:p>
      <w:r>
        <w:rPr>
          <w:b/>
        </w:rPr>
        <w:t xml:space="preserve">Ergebnis: </w:t>
      </w:r>
      <w:r>
        <w:t>17 Studien eingeschlossen (3 Beobachtungskohorten mit 173 klinischen Patienten, 13 Fallberichte, 1 in-vitro-Studie): diverse Gram-negative und Gram-positive Erreger ohne konsistente Assoziation mit spezifischem Erreger oder Toxin. Myokardschädigung überwiegend durch Biomarker identifiziert, begrenzte Obduktionsbestätigungen. Keine Studie war für kausale oder vergleichende pathogene Mechanismen konzipiert. Verfügbare Daten zeigen heterogene infektiöse Kontexte ohne valide Erregerzuordnung.</w:t>
      </w:r>
    </w:p>
    <w:p>
      <w:r>
        <w:rPr>
          <w:b/>
          <w:sz w:val="19"/>
        </w:rPr>
        <w:t xml:space="preserve">Übertragbarkeit: </w:t>
      </w:r>
      <w:r>
        <w:rPr>
          <w:sz w:val="19"/>
        </w:rPr>
        <w:t>Skandinavien, Studiendesign zeigt Erkenntnislücke zur septischen Myokardschädigung; Implikation für Versorgung</w:t>
      </w:r>
    </w:p>
    <w:p>
      <w:r>
        <w:rPr>
          <w:color w:val="5A7D3A"/>
          <w:sz w:val="18"/>
        </w:rPr>
        <w:t>https://pubmed.ncbi.nlm.nih.gov/42648781/</w:t>
      </w:r>
    </w:p>
    <w:p>
      <w:pPr>
        <w:pStyle w:val="Heading2"/>
      </w:pPr>
      <w:r>
        <w:t>Arzneimittelkaskaden: 0,69%–3,29% Inzidenz vermeidbarer Medikationsfehler bei älteren Patienten</w:t>
      </w:r>
    </w:p>
    <w:p>
      <w:r>
        <w:rPr>
          <w:i/>
          <w:color w:val="666666"/>
          <w:sz w:val="18"/>
        </w:rPr>
        <w:t>Gervais F et al.  ·  Age Ageing  ·  03.08.2026  ·  PMID 42647768</w:t>
      </w:r>
    </w:p>
    <w:p>
      <w:r>
        <w:t>Analyse von 16,6 Mio. französischen Patientendaten ≥65 Jahren zur Häufigkeit von Arzneimittelkaskaden (unerwünschte Arzneimittelwirkungen, die fälschlicherweise als neue Erkrankung interpretiert werden und zu zusätzlichen Verschreibungen führen).</w:t>
      </w:r>
    </w:p>
    <w:p>
      <w:r>
        <w:rPr>
          <w:b/>
        </w:rPr>
        <w:t xml:space="preserve">Ergebnis: </w:t>
      </w:r>
      <w:r>
        <w:t>Bei 67% der Patienten mit kognitiver Beeinträchtigung lag Polypharmazie vor. Vier von sieben potenzielle Kaskaden zeigten signifikante positive Signale; stärkste: Benzodiazepin-Antipsychotika-Kaskade (adjustiertes Sequenzratio 2,48, 99%-KI 2,44–2,51) und Antipsychotika-Antiparkinson-Kaskade (2,01, 99%-KI 1,91–2,11). Inzidenz 0,69%–3,29%. Weibliches Geschlecht, Alter ≥85 Jahre, Hospitalisierungsbeginn der Indexmedikation und fehlende Verschreiberkontinuität waren mit höherem Kaskadenrisiko assoziiert.</w:t>
      </w:r>
    </w:p>
    <w:p>
      <w:r>
        <w:rPr>
          <w:b/>
          <w:sz w:val="19"/>
        </w:rPr>
        <w:t xml:space="preserve">Übertragbarkeit: </w:t>
      </w:r>
      <w:r>
        <w:rPr>
          <w:sz w:val="19"/>
        </w:rPr>
        <w:t>Frankreich, vergleichbar mit deutschem Sozialversicherungssystem und Dokumentationspflichten</w:t>
      </w:r>
    </w:p>
    <w:p>
      <w:r>
        <w:rPr>
          <w:color w:val="5A7D3A"/>
          <w:sz w:val="18"/>
        </w:rPr>
        <w:t>https://pubmed.ncbi.nlm.nih.gov/42647768/</w:t>
      </w:r>
    </w:p>
    <w:p>
      <w:pPr>
        <w:pStyle w:val="Heading2"/>
      </w:pPr>
      <w:r>
        <w:t>Periphere Vasopressoren: Protokollabweichungen führten selten zu klinisch relevanter Gewebeschädigung</w:t>
      </w:r>
    </w:p>
    <w:p>
      <w:r>
        <w:rPr>
          <w:i/>
          <w:color w:val="666666"/>
          <w:sz w:val="18"/>
        </w:rPr>
        <w:t>Shyu D et al.  ·  Crit Care Explor  ·  01.09.2026  ·  PMID 42640631</w:t>
      </w:r>
    </w:p>
    <w:p>
      <w:r>
        <w:t>Retrospektive Observationsstudie in 10 Krankenhäusern (Oktober 2020–Mai 2023) zu Abweichungen von einem institutionellen Protokoll für periphere Vasopressorengabe und deren Assoziation mit Extravasationen.</w:t>
      </w:r>
    </w:p>
    <w:p>
      <w:r>
        <w:rPr>
          <w:b/>
        </w:rPr>
        <w:t xml:space="preserve">Ergebnis: </w:t>
      </w:r>
      <w:r>
        <w:t>Von 3518 Patienten mit peripherer Vasopressorengabe hatten 1258 verdächtige Protokollabweichungen; 73 von 162 zur Detailrevision ausgewählten bestätigt: 86,3% überschritten Höchstdosis, 23 bekamen mehrere gleichzeitig, 13 infundiert &gt;24h, 13 periphere Vasopressin. 79,4% der Abweichungen bei Schock-Verschlimmerung vor zentralem Zugang. Extravasation: 13,7% (10 Patienten), 3 erhielten Phentolamin. In Sekundäranalyse: 47/3518 (1,3%) bekamen Phentolamin, davon 72,4% protokollkonform zum Zeitpunkt der Extravasation.</w:t>
      </w:r>
    </w:p>
    <w:p>
      <w:r>
        <w:rPr>
          <w:b/>
          <w:sz w:val="19"/>
        </w:rPr>
        <w:t xml:space="preserve">Übertragbarkeit: </w:t>
      </w:r>
      <w:r>
        <w:rPr>
          <w:sz w:val="19"/>
        </w:rPr>
        <w:t>USA, aber Sicherheitsbefund unabhängig von System; Frage der Protokollsicherheit übertragbar</w:t>
      </w:r>
    </w:p>
    <w:p>
      <w:r>
        <w:rPr>
          <w:color w:val="5A7D3A"/>
          <w:sz w:val="18"/>
        </w:rPr>
        <w:t>https://pubmed.ncbi.nlm.nih.gov/42640631/</w:t>
      </w:r>
    </w:p>
    <w:p>
      <w:pPr>
        <w:pStyle w:val="Heading2"/>
      </w:pPr>
      <w:r>
        <w:t>Spezielles Endotrachealtubus-System reduziert mikrobielle Vermischung zwischen Atemwegsetagen bei Beatmung</w:t>
      </w:r>
    </w:p>
    <w:p>
      <w:r>
        <w:rPr>
          <w:i/>
          <w:color w:val="666666"/>
          <w:sz w:val="18"/>
        </w:rPr>
        <w:t>Pilkowski AE et al.  ·  Respir Res  ·  01.08.2026  ·  PMID 42571013</w:t>
      </w:r>
    </w:p>
    <w:p>
      <w:r>
        <w:t>Randomisierte Pilotstudie (n=50, 21 mit kompletten Daten) zum Vergleich eines Spezial-Endotrachealtubus (Venner PneuX®) mit permanenter Cuff-Druckkontrolle, subglottischer Absaugung und biofilm-resistenter Beschichtung gegenüber Standard-Intubation bezüglich mikrobieller Austausche zwischen Atemwegsetagen als indirektes Messkriterium für Mikroaspiration bei Beatmungs-assoziierter Pneumonie (VAP).</w:t>
      </w:r>
    </w:p>
    <w:p>
      <w:r>
        <w:rPr>
          <w:b/>
        </w:rPr>
        <w:t xml:space="preserve">Ergebnis: </w:t>
      </w:r>
      <w:r>
        <w:t>Standard-Intubation führte zu progressiver mikrobieller Konvergenz zwischen Tubus und Trachealsekreten (Morisita-Horn 0,55→0,30, p=0,001) sowie Divergenz der Lungenregionen (0,08→0,31, p=0,003). Im Venner-PneuX-Gruppe zeigten sich keine signifikanten Distanzänderungen. Die Ergebnisse bieten biologische Plausibilität für bisher berichtete VAP-Reduktionen mit diesem System.</w:t>
      </w:r>
    </w:p>
    <w:p>
      <w:r>
        <w:rPr>
          <w:b/>
          <w:sz w:val="19"/>
        </w:rPr>
        <w:t xml:space="preserve">Übertragbarkeit: </w:t>
      </w:r>
      <w:r>
        <w:rPr>
          <w:sz w:val="19"/>
        </w:rPr>
        <w:t>Deutschland, prospektive Pilotdaten für klinisch relevante Prävention; externe Validierung ausstehend</w:t>
      </w:r>
    </w:p>
    <w:p>
      <w:r>
        <w:rPr>
          <w:color w:val="5A7D3A"/>
          <w:sz w:val="18"/>
        </w:rPr>
        <w:t>https://pubmed.ncbi.nlm.nih.gov/42571013/</w:t>
      </w:r>
    </w:p>
    <w:p>
      <w:pPr>
        <w:pStyle w:val="Heading2"/>
      </w:pPr>
      <w:r>
        <w:t>Therapieunterbrechungsfehler an automatisierten Dialysegeräten: 49 Fehlertypen systematisch kategorisiert und gelöst</w:t>
      </w:r>
    </w:p>
    <w:p>
      <w:r>
        <w:rPr>
          <w:i/>
          <w:color w:val="666666"/>
          <w:sz w:val="18"/>
        </w:rPr>
        <w:t>Albert A et al.  ·  BMC Health Serv Res  ·  08.08.2026  ·  PMID 42571003</w:t>
      </w:r>
    </w:p>
    <w:p>
      <w:r>
        <w:t>Retrospektive Analyse von Systemfehlern an HomeChoice-Dialysegeräten (2015–2023) in einer deutschen Referenzklinik mit Ziel, Therapieunterbrechungen zu dokumentieren und lösungsorientierte Strategien für Pflegepersonal und Patienten bereitzustellen.</w:t>
      </w:r>
    </w:p>
    <w:p>
      <w:r>
        <w:rPr>
          <w:b/>
        </w:rPr>
        <w:t xml:space="preserve">Ergebnis: </w:t>
      </w:r>
      <w:r>
        <w:t>49 verschiedene Fehlertypen in 138 Zwischenfällen über 8 Jahre identifiziert und in 8 Kategorien eingeteilt: Druckkammer-assoziiert (21,74%), Luft im System (19,57%, Fehler 2240 in 17,39%), Digitalboard/EEPROM (17,39%), Energiesystem (16,67%), Türöffnung (7,25%), Heizung (4,35%), ungeklärt (12,32%). Gesamt-Fehlerrate: &lt;0,25% der Behandlungssitzungen. Konkrete Troubleshooting-Algorithmen für Personal und Patienten bereitgestellt.</w:t>
      </w:r>
    </w:p>
    <w:p>
      <w:r>
        <w:rPr>
          <w:b/>
          <w:sz w:val="19"/>
        </w:rPr>
        <w:t xml:space="preserve">Übertragbarkeit: </w:t>
      </w:r>
      <w:r>
        <w:rPr>
          <w:sz w:val="19"/>
        </w:rPr>
        <w:t>Deutschland, routinelle Klinikdaten, direkt übertragbar für Schulung und Herstellerkommunikation</w:t>
      </w:r>
    </w:p>
    <w:p>
      <w:r>
        <w:rPr>
          <w:color w:val="5A7D3A"/>
          <w:sz w:val="18"/>
        </w:rPr>
        <w:t>https://pubmed.ncbi.nlm.nih.gov/42571003/</w:t>
      </w:r>
    </w:p>
    <w:p>
      <w:pPr>
        <w:pStyle w:val="Heading2"/>
      </w:pPr>
      <w:r>
        <w:t>Präoperative Optimierung vor Hüftgelenksersatz: kein signifikanter Effekt auf Infektionen oder Mortalität</w:t>
      </w:r>
    </w:p>
    <w:p>
      <w:r>
        <w:rPr>
          <w:i/>
          <w:color w:val="666666"/>
          <w:sz w:val="18"/>
        </w:rPr>
        <w:t>Sigurdardottir M et al.  ·  BMJ Open  ·  06.08.2026  ·  PMID 42562582</w:t>
      </w:r>
    </w:p>
    <w:p>
      <w:r>
        <w:t>Prospektive quasi-experimentelle Studie mit 1484 Patienten (Interventionsgruppe n=746, Kontrollgruppe n=738) zur Auswirkung eines multifaktoriellen Optimierungsprogramms 6–12 Monate vor elektiven Gelenkersatzoperationen auf oberflächliche Wundinfektionen (SSI), periprosthetic joint infections (PJI) und Mortalität über 3 Jahre.</w:t>
      </w:r>
    </w:p>
    <w:p>
      <w:r>
        <w:rPr>
          <w:b/>
        </w:rPr>
        <w:t xml:space="preserve">Ergebnis: </w:t>
      </w:r>
      <w:r>
        <w:t>Oberflächliche SSI nach 1 Jahr: 5,9% vs. 7,9% (HR 0,67, 95%-KI 0,45–1,01, nicht signifikant). PJI: 2,0% vs. 1,1% (HR 1,80, 95%-KI 0,76–4,30, nicht signifikant). Keine signifikanten Unterschiede bei Mortalität oder postoperativer Gesundheit nach 3 Jahren. Die Interventionsgruppe war zu 77% während der COVID-19-Pandemie operiert worden versus 5% in der Kontrollgruppe.</w:t>
      </w:r>
    </w:p>
    <w:p>
      <w:r>
        <w:rPr>
          <w:b/>
          <w:sz w:val="19"/>
        </w:rPr>
        <w:t xml:space="preserve">Übertragbarkeit: </w:t>
      </w:r>
      <w:r>
        <w:rPr>
          <w:sz w:val="19"/>
        </w:rPr>
        <w:t>Island, Strukturen ähnlich deutschem Gesundheitswesen, klare Lessons-learned für Qualitätsinterventionen</w:t>
      </w:r>
    </w:p>
    <w:p>
      <w:r>
        <w:rPr>
          <w:color w:val="5A7D3A"/>
          <w:sz w:val="18"/>
        </w:rPr>
        <w:t>https://pubmed.ncbi.nlm.nih.gov/42562582/</w:t>
      </w:r>
    </w:p>
    <w:p>
      <w:pPr>
        <w:pStyle w:val="Heading1"/>
      </w:pPr>
      <w:r>
        <w:t>Aufgenommen am 26.08.2026</w:t>
      </w:r>
    </w:p>
    <w:p>
      <w:pPr>
        <w:pStyle w:val="Heading2"/>
      </w:pPr>
      <w:r>
        <w:t>Verzögerte Antibiotikaverordnung mit Entscheidungshilfe reduzierte unangemessene Anwendung um ein Drittel</w:t>
      </w:r>
    </w:p>
    <w:p>
      <w:r>
        <w:rPr>
          <w:i/>
          <w:color w:val="666666"/>
          <w:sz w:val="18"/>
        </w:rPr>
        <w:t>Sievert EDC et al.  ·  Appl Psychol Health Well Being  ·  Aug. 2026  ·  PMID 42568140</w:t>
      </w:r>
    </w:p>
    <w:p>
      <w:r>
        <w:t>Online-Experiment mit 663 britischen Erwachsenen zur Wirkung von WHO-Entscheidungshilfematerial auf verzögerte Antibiotikaverordnungen bei vermuteten Virusinfektionen unter Verhaltensanreizen.</w:t>
      </w:r>
    </w:p>
    <w:p>
      <w:r>
        <w:rPr>
          <w:b/>
        </w:rPr>
        <w:t xml:space="preserve">Ergebnis: </w:t>
      </w:r>
      <w:r>
        <w:t>Unangemessene Antibiotikaverwendung war in allen Entscheidungsunterstützungs-Bedingungen niedriger als in Kontrolle (p&lt;0,001, ηG²=0,02). Entscheidungskonflikt sank signifikant in Interventions-Armen (p&lt;0,001, ηG²=0,02) durch verbesserte Wertklarheit und wahrgenommene Unterstützung. Kombination aus Entscheidungshilfe, Wertintegration und aktivem Symptommonitoring zeigte beste Effekte.</w:t>
      </w:r>
    </w:p>
    <w:p>
      <w:r>
        <w:rPr>
          <w:b/>
          <w:sz w:val="19"/>
        </w:rPr>
        <w:t xml:space="preserve">Übertragbarkeit: </w:t>
      </w:r>
      <w:r>
        <w:rPr>
          <w:sz w:val="19"/>
        </w:rPr>
        <w:t>UK mit NHS-Struktur; Antibiotika-Stewardship-Prinzipien in Deutschland etabliert, Übertragbarkeit gut.</w:t>
      </w:r>
    </w:p>
    <w:p>
      <w:r>
        <w:rPr>
          <w:color w:val="5A7D3A"/>
          <w:sz w:val="18"/>
        </w:rPr>
        <w:t>https://pubmed.ncbi.nlm.nih.gov/42568140/</w:t>
      </w:r>
    </w:p>
    <w:p>
      <w:pPr>
        <w:pStyle w:val="Heading2"/>
      </w:pPr>
      <w:r>
        <w:t>Strukturiertes Infektionsrisiko-Assessment identifiziert 65 % der Patienten als gefährdet</w:t>
      </w:r>
    </w:p>
    <w:p>
      <w:r>
        <w:rPr>
          <w:i/>
          <w:color w:val="666666"/>
          <w:sz w:val="18"/>
        </w:rPr>
        <w:t>Luís TB et al.  ·  Front Public Health  ·  23.07.2026  ·  PMID 42564447</w:t>
      </w:r>
    </w:p>
    <w:p>
      <w:r>
        <w:t>Multizentrisches Querschnitts-Observatorium mit 1.092 hospitalisierten Erwachsenen in Portugal zur Prävalenz und Risikofaktoren für Infektionen mittels RAC-Skala (Risk Assessment for Infection).</w:t>
      </w:r>
    </w:p>
    <w:p>
      <w:r>
        <w:rPr>
          <w:b/>
        </w:rPr>
        <w:t xml:space="preserve">Ergebnis: </w:t>
      </w:r>
      <w:r>
        <w:t>Moderate (53,6 %) oder hohe (11,4 %) Infektionsrisiken nach Perzentil-Stratifikation. Höhere Risiken assoziiert mit Alter, Multimorbidität, beeinträchtigter Gewebsintegrität, reduzierter Mobilität, Vorspitalisierung, Verlegung, Liegedauer, invasiven Prozeduren. ROC-Analyse mit guter Diskriminierung; Medizin-Stationen hatten signifikant höhere Risikoscores als Chirurgie.</w:t>
      </w:r>
    </w:p>
    <w:p>
      <w:r>
        <w:rPr>
          <w:b/>
          <w:sz w:val="19"/>
        </w:rPr>
        <w:t xml:space="preserve">Übertragbarkeit: </w:t>
      </w:r>
      <w:r>
        <w:rPr>
          <w:sz w:val="19"/>
        </w:rPr>
        <w:t>Portugal/SÜDEUROPA mit ähnlichen Dokumentationssystemen; RAC-Skala als strukturiertes Instrument universell anwendbar.</w:t>
      </w:r>
    </w:p>
    <w:p>
      <w:r>
        <w:rPr>
          <w:color w:val="5A7D3A"/>
          <w:sz w:val="18"/>
        </w:rPr>
        <w:t>https://pubmed.ncbi.nlm.nih.gov/42564447/</w:t>
      </w:r>
    </w:p>
    <w:p>
      <w:pPr>
        <w:pStyle w:val="Heading1"/>
      </w:pPr>
      <w:r>
        <w:t>Aufgenommen am 25.08.2026</w:t>
      </w:r>
    </w:p>
    <w:p>
      <w:pPr>
        <w:pStyle w:val="Heading2"/>
      </w:pPr>
      <w:r>
        <w:t>Online-adaptive Radiotherapie: Systemische FMEA identifiziert 300 Fehlermöglichkeiten</w:t>
      </w:r>
    </w:p>
    <w:p>
      <w:r>
        <w:rPr>
          <w:i/>
          <w:color w:val="666666"/>
          <w:sz w:val="18"/>
        </w:rPr>
        <w:t>Balaji D et al.  ·  J Appl Clin Med Phys  ·  Sept. 2026  ·  PMID 42638337</w:t>
      </w:r>
    </w:p>
    <w:p>
      <w:r>
        <w:t>Systematische Literaturübersicht von 11 Studien analysiert Fehlermodi und deren Auswirkungen (FMEA) in Workflows der Online-Adaptive Radiotherapie (MR-guided, CBCT-guided, MR-enhanced C-arm Systeme).</w:t>
      </w:r>
    </w:p>
    <w:p>
      <w:r>
        <w:rPr>
          <w:b/>
        </w:rPr>
        <w:t xml:space="preserve">Ergebnis: </w:t>
      </w:r>
      <w:r>
        <w:t>300 einzigartige Fehlermodi identifiziert, 49,6% als hochriskant (Klasse III) klassifiziert. Hochriskante Fehler konzentrieren sich in Online-Behandlungs-Phase, besonders bei Mensch-Computer-Interaktion und anatomischer Konturierung. Analyse zeigt Heterogenität in Risiko-Bewertungsmethoden, harmonisiert zu 3er-Klassifikation (Class I: niedrig, II: mittel, III: hoch).</w:t>
      </w:r>
    </w:p>
    <w:p>
      <w:r>
        <w:rPr>
          <w:b/>
          <w:sz w:val="19"/>
        </w:rPr>
        <w:t xml:space="preserve">Übertragbarkeit: </w:t>
      </w:r>
      <w:r>
        <w:rPr>
          <w:sz w:val="19"/>
        </w:rPr>
        <w:t>Deutschland und Benelux, vergleichbare Qualitätsmanagementsysteme in klinischen Zentren</w:t>
      </w:r>
    </w:p>
    <w:p>
      <w:r>
        <w:rPr>
          <w:color w:val="5A7D3A"/>
          <w:sz w:val="18"/>
        </w:rPr>
        <w:t>https://pubmed.ncbi.nlm.nih.gov/42638337/</w:t>
      </w:r>
    </w:p>
    <w:p>
      <w:pPr>
        <w:pStyle w:val="Heading2"/>
      </w:pPr>
      <w:r>
        <w:t>Nosokomiale Ausbrüche in Hämatologie-Onkologie: Strukturierte Analyse identifiziert Risikofaktoren</w:t>
      </w:r>
    </w:p>
    <w:p>
      <w:r>
        <w:rPr>
          <w:i/>
          <w:color w:val="666666"/>
          <w:sz w:val="18"/>
        </w:rPr>
        <w:t>Posselt SL et al.  ·  BMC Infect Dis  ·  20.08.2026  ·  PMID 42638092</w:t>
      </w:r>
    </w:p>
    <w:p>
      <w:r>
        <w:t>Strukturierte Analyse von 196 nosokomialen Ausbrüchen in Hämatologie und Onkologie aus internationaler Datenbank mit Betrachtung von Infektionserregern, Übertragungswegen und implementierten Infektionskontrollmaßnahmen.</w:t>
      </w:r>
    </w:p>
    <w:p>
      <w:r>
        <w:rPr>
          <w:b/>
        </w:rPr>
        <w:t xml:space="preserve">Ergebnis: </w:t>
      </w:r>
      <w:r>
        <w:t>Blutstream- und untere Atemwegsinfektionen waren am häufigsten; Pseudomonas aeruginosa und Enterokokken als Haupterreger. Multivariable Analyse identifizierte als unabhängig assoziiert mit hohem Infektionskontrollaufwand: Pilzerreger (OR 6,26; KI 1,60–24,44), multiresistente Bakterien (OR 6,01; KI 2,56–14,09), antibiotische Therapie (OR 2,97; KI 1,05–8,38), ≥10 Patienten in Ausbruch (OR 2,54; KI 1,11–5,81), direkter Kontakttransfer (OR 3,42; KI 1,43–8,16). Untere Atemwegsinfektionen stark assoziiert mit Mortalität (OR 7,95; KI 2,06–30,73).</w:t>
      </w:r>
    </w:p>
    <w:p>
      <w:r>
        <w:rPr>
          <w:b/>
          <w:sz w:val="19"/>
        </w:rPr>
        <w:t xml:space="preserve">Übertragbarkeit: </w:t>
      </w:r>
      <w:r>
        <w:rPr>
          <w:sz w:val="19"/>
        </w:rPr>
        <w:t>Deutschland, vergleichbare Surveillance-Standards und Dokumentationspflichten</w:t>
      </w:r>
    </w:p>
    <w:p>
      <w:r>
        <w:rPr>
          <w:color w:val="5A7D3A"/>
          <w:sz w:val="18"/>
        </w:rPr>
        <w:t>https://pubmed.ncbi.nlm.nih.gov/42638092/</w:t>
      </w:r>
    </w:p>
    <w:p>
      <w:pPr>
        <w:pStyle w:val="Heading2"/>
      </w:pPr>
      <w:r>
        <w:t>Arzneimittelwechselwirkungen: Unterschiede zwischen Schweizer und österreichischem Meldesystem</w:t>
      </w:r>
    </w:p>
    <w:p>
      <w:r>
        <w:rPr>
          <w:i/>
          <w:color w:val="666666"/>
          <w:sz w:val="18"/>
        </w:rPr>
        <w:t>Rainer M et al.  ·  PLoS One  ·  21.08.2026  ·  PMID 42627821</w:t>
      </w:r>
    </w:p>
    <w:p>
      <w:r>
        <w:t>Retrospektive Analyse von 1499 Meldungen zu Arzneimittelwechselwirkungen in Pharmakvigilanz-Systemen der Schweiz (n=1159) und Österreich (n=340) zwischen 2008 und April 2024 mit Fokus auf Unterschiede in Meldevolumen, Qualität und Systemeigenheiten.</w:t>
      </w:r>
    </w:p>
    <w:p>
      <w:r>
        <w:rPr>
          <w:b/>
        </w:rPr>
        <w:t xml:space="preserve">Ergebnis: </w:t>
      </w:r>
      <w:r>
        <w:t>Schweiz meldete 3,4-mal mehr Fälle als Österreich (5,8 vs. 1,7 Fälle/Monat). 80% (CH) bzw. 84% (Ö) als schwerwiegend klassifiziert. Polypharmie stark assoziiert mit schwerwiegenden Folgen (CH: ROR 3,71; KI 3,26–4,23, p&lt;0,0001; Ö: ROR 1,98; KI 1,60–2,44, p&lt;0,0001). Unterschiede in Meldeinhalten: Schweiz eher Mechanismen, Österreich eher Symptome. Unterschiede deuten auf Rolle von Systemdesign und klinischer Pharmazie hin.</w:t>
      </w:r>
    </w:p>
    <w:p>
      <w:r>
        <w:rPr>
          <w:b/>
          <w:sz w:val="19"/>
        </w:rPr>
        <w:t xml:space="preserve">Übertragbarkeit: </w:t>
      </w:r>
      <w:r>
        <w:rPr>
          <w:sz w:val="19"/>
        </w:rPr>
        <w:t>DACH, vergleichbare Gesundheitssysteme und Pharmakvigilanz-Strukturen</w:t>
      </w:r>
    </w:p>
    <w:p>
      <w:r>
        <w:rPr>
          <w:color w:val="5A7D3A"/>
          <w:sz w:val="18"/>
        </w:rPr>
        <w:t>https://pubmed.ncbi.nlm.nih.gov/42627821/</w:t>
      </w:r>
    </w:p>
    <w:p>
      <w:pPr>
        <w:pStyle w:val="Heading2"/>
      </w:pPr>
      <w:r>
        <w:t>Antibiotic Stewardship bei Harnwegsinfektionen im Alter senkte Resistenzen</w:t>
      </w:r>
    </w:p>
    <w:p>
      <w:r>
        <w:rPr>
          <w:i/>
          <w:color w:val="666666"/>
          <w:sz w:val="18"/>
        </w:rPr>
        <w:t>Attauabi M et al.  ·  Euro Surveill  ·  Aug. 2026  ·  PMID 42626792</w:t>
      </w:r>
    </w:p>
    <w:p>
      <w:r>
        <w:t>Nationale Registerstudie in Dänemark (1999–2023) untersucht Zusammenhang zwischen Antibiotikaverbrauch und Resistenzentwicklung gegen Pivmecillinam, Trimethoprim, Nitrofurantoin und Sulfamethizol bei Patienten ≥70 Jahren; Fokus auf Qualitätsverbesserungen seit 2005.</w:t>
      </w:r>
    </w:p>
    <w:p>
      <w:r>
        <w:rPr>
          <w:b/>
        </w:rPr>
        <w:t xml:space="preserve">Ergebnis: </w:t>
      </w:r>
      <w:r>
        <w:t>Höchster Antibiotikaverbrauch 2014 (447 Rezepte pro 1000 Personen ≥70 Jahre), bis 2023 um 28,4% gesunken. Resistenz gegen alle vier Substanzen in E. coli und K. pneumoniae signifikant rückläufig 2018–2023. Stewardship-Intensivierung nach 2013 mit aktualisierten Leitlinien positiv auf Verbrauch und Resistenzen wirksam.</w:t>
      </w:r>
    </w:p>
    <w:p>
      <w:r>
        <w:rPr>
          <w:b/>
          <w:sz w:val="19"/>
        </w:rPr>
        <w:t xml:space="preserve">Übertragbarkeit: </w:t>
      </w:r>
      <w:r>
        <w:rPr>
          <w:sz w:val="19"/>
        </w:rPr>
        <w:t>Skandinavien, vergleichbare Surveillance-Infrastruktur und Stewardship-Rahmenbedingungen</w:t>
      </w:r>
    </w:p>
    <w:p>
      <w:r>
        <w:rPr>
          <w:color w:val="5A7D3A"/>
          <w:sz w:val="18"/>
        </w:rPr>
        <w:t>https://pubmed.ncbi.nlm.nih.gov/42626792/</w:t>
      </w:r>
    </w:p>
    <w:p>
      <w:pPr>
        <w:pStyle w:val="Heading2"/>
      </w:pPr>
      <w:r>
        <w:t>Nosokomiale Infektionen nach Gastrointestinal-Krebsoperation: Neoadjuvante Radiotherapie als Risikofaktor</w:t>
      </w:r>
    </w:p>
    <w:p>
      <w:r>
        <w:rPr>
          <w:i/>
          <w:color w:val="666666"/>
          <w:sz w:val="18"/>
        </w:rPr>
        <w:t>Fieraru IM et al.  ·  Front Public Health  ·  05.08.2026  ·  PMID 42620635</w:t>
      </w:r>
    </w:p>
    <w:p>
      <w:r>
        <w:t>Prospektive Beobachtungsstudie in rumänischem Zentrum (211 Patienten, Mai 2023–Juli 2024) an Magen- und Kolonkarzinom-Operationen: 30-Tage-Infektionen dokumentiert, Risikofaktoren analysiert, Antibiotikaresistenzprofil beschrieben.</w:t>
      </w:r>
    </w:p>
    <w:p>
      <w:r>
        <w:rPr>
          <w:b/>
        </w:rPr>
        <w:t xml:space="preserve">Ergebnis: </w:t>
      </w:r>
      <w:r>
        <w:t>15,6% entwickelten ≥1 nosokomiale Infektion (39 Episoden). Chirurgische Wundinfektionen dominant nach unterem GI-Trakt (~46%), Geräte-/Atemwegsinfektionen nach oberem Trakt (~38%). Neoadjuvante Radiotherapie unabhängiger Risikofaktor bei Kolonkarzinom (adj. OR 3,25; KI 1,15–9,19; p=0,026). Von 27 kulturpositiven Isolaten 44,4% multiresistent, einschließlich Carbapenemase-Produzenten; 36,4% Infektionen ohne Kulturdokumentation.</w:t>
      </w:r>
    </w:p>
    <w:p>
      <w:r>
        <w:rPr>
          <w:b/>
          <w:sz w:val="19"/>
        </w:rPr>
        <w:t xml:space="preserve">Übertragbarkeit: </w:t>
      </w:r>
      <w:r>
        <w:rPr>
          <w:sz w:val="19"/>
        </w:rPr>
        <w:t>Osteuropa, aber Infektionserkennung und Dokumentationslücken sind universell relevant</w:t>
      </w:r>
    </w:p>
    <w:p>
      <w:r>
        <w:rPr>
          <w:color w:val="5A7D3A"/>
          <w:sz w:val="18"/>
        </w:rPr>
        <w:t>https://pubmed.ncbi.nlm.nih.gov/42620635/</w:t>
      </w:r>
    </w:p>
    <w:p>
      <w:pPr>
        <w:pStyle w:val="Heading2"/>
      </w:pPr>
      <w:r>
        <w:t>Pediatrisches Trigger-Tool für Deutschsprachige Kinder identifiziert Schäden reliabel</w:t>
      </w:r>
    </w:p>
    <w:p>
      <w:r>
        <w:rPr>
          <w:i/>
          <w:color w:val="666666"/>
          <w:sz w:val="18"/>
        </w:rPr>
        <w:t>Peters A et al.  ·  Eur J Pediatr  ·  17.08.2026  ·  PMID 42608613</w:t>
      </w:r>
    </w:p>
    <w:p>
      <w:r>
        <w:t>Methodische Studie in deutscher Kinderkardiologie (200 stationäre Patienten) entwickelt und validiert das Paediatric Trigger Tool German (PAED-TT-GER) zur retrospektiven Erkennung unerwünschter Ereignisse in Kinderkrankenhäusern.</w:t>
      </w:r>
    </w:p>
    <w:p>
      <w:r>
        <w:rPr>
          <w:b/>
        </w:rPr>
        <w:t xml:space="preserve">Ergebnis: </w:t>
      </w:r>
      <w:r>
        <w:t>57 Trigger ausgewählt (54 Normalstation + 3 PICU). Interrater-Reliabilität gut (ICC 0,794; KI 0,557–0,906). In 200 Patienten 472 Trigger identifiziert (Mittel 2,36/Patient), 45 unerwünschte Ereignisse in 42/200 Patienten (21%) bestätigt. NCC-MERP-Klassifikation: 24 Ereignisse temporärer Schaden mit Intervention (E), 19 verlängerte Hospitalisierung (F), 2 permanenter Schaden (G); 7 (15,6%) präventabel bewertet.</w:t>
      </w:r>
    </w:p>
    <w:p>
      <w:r>
        <w:rPr>
          <w:b/>
          <w:sz w:val="19"/>
        </w:rPr>
        <w:t xml:space="preserve">Übertragbarkeit: </w:t>
      </w:r>
      <w:r>
        <w:rPr>
          <w:sz w:val="19"/>
        </w:rPr>
        <w:t>Deutsches Kinderkardiologie-Zentrum, unmittelbar auf deutsches System übertragbar</w:t>
      </w:r>
    </w:p>
    <w:p>
      <w:r>
        <w:rPr>
          <w:color w:val="5A7D3A"/>
          <w:sz w:val="18"/>
        </w:rPr>
        <w:t>https://pubmed.ncbi.nlm.nih.gov/42608613/</w:t>
      </w:r>
    </w:p>
    <w:p>
      <w:pPr>
        <w:pStyle w:val="Heading2"/>
      </w:pPr>
      <w:r>
        <w:t>Hand-Hygiene-Champion-Programm erhöht Compliance auf Intensivstationen signifikant</w:t>
      </w:r>
    </w:p>
    <w:p>
      <w:r>
        <w:rPr>
          <w:i/>
          <w:color w:val="666666"/>
          <w:sz w:val="18"/>
        </w:rPr>
        <w:t>Batalla MGA et al.  ·  Br J Nurs  ·  06.08.2026  ·  PMID 42555589</w:t>
      </w:r>
    </w:p>
    <w:p>
      <w:r>
        <w:t>Qualitätsverbesserungsprojekt in zwei britischen Universitätsklinika (Februar 2025–Februar 2026) implementiert Hand-Hygiene-Champion-Rolle und misst deren Effekt auf Händehygiene-Compliance in der Intensivmedizin mit Plan-Do-Study-Act-Zyklus.</w:t>
      </w:r>
    </w:p>
    <w:p>
      <w:r>
        <w:rPr>
          <w:b/>
        </w:rPr>
        <w:t xml:space="preserve">Ergebnis: </w:t>
      </w:r>
      <w:r>
        <w:t>Händehygiene-Compliance signifikant höher in Interventionsgruppe mit Champions als in Kontrollgruppe. Compliance stieg über Zeit signifikant post-Implementierung der Hand-Hygiene-Champions an. Programm zeigt Praktikabilität zur Verbesserung Händehygiene-Einhaltung in ICU.</w:t>
      </w:r>
    </w:p>
    <w:p>
      <w:r>
        <w:rPr>
          <w:b/>
          <w:sz w:val="19"/>
        </w:rPr>
        <w:t xml:space="preserve">Übertragbarkeit: </w:t>
      </w:r>
      <w:r>
        <w:rPr>
          <w:sz w:val="19"/>
        </w:rPr>
        <w:t>Vereinigtes Königreich, aber aktive Surveillance mit Peer-Coaching ist international übertragbar</w:t>
      </w:r>
    </w:p>
    <w:p>
      <w:r>
        <w:rPr>
          <w:color w:val="5A7D3A"/>
          <w:sz w:val="18"/>
        </w:rPr>
        <w:t>https://pubmed.ncbi.nlm.nih.gov/42555589/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Patientensicherheit</dc:title>
  <dc:subject/>
  <dc:creator>Monitor Versorgungsforschung</dc:creator>
  <cp:keywords/>
  <dc:description>generated by python-docx</dc:description>
  <cp:lastModifiedBy/>
  <cp:revision>1</cp:revision>
  <dcterms:created xsi:type="dcterms:W3CDTF">2026-10-13T06:00:00Z</dcterms:created>
  <dcterms:modified xsi:type="dcterms:W3CDTF">2026-10-13T06:00:00Z</dcterms:modified>
  <cp:category/>
</cp:coreProperties>
</file>