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14.10.2026  |  6 Studien  |  safety.m-vf.de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Chemotherapie-Nebenwirkungen: 18,6 % der ungeplanten Aufnahmen vermeidbar</w:t>
      </w:r>
    </w:p>
    <w:p>
      <w:r>
        <w:rPr>
          <w:i/>
          <w:color w:val="666666"/>
          <w:sz w:val="18"/>
        </w:rPr>
        <w:t>Endo M et al.  ·  Support Care Cancer  ·  13.10.2026  ·  PMID 42867709</w:t>
      </w:r>
    </w:p>
    <w:p>
      <w:r>
        <w:t>Retrospektive Analyse von 161 ungeplanten Hospitaliserungen wegen Nebenwirkungen von Systemchemotherapie an einem japanischen Zentrum zur Identifizierung vermeidbarer Fälle.</w:t>
      </w:r>
    </w:p>
    <w:p>
      <w:r>
        <w:rPr>
          <w:b/>
        </w:rPr>
        <w:t xml:space="preserve">Ergebnis: </w:t>
      </w:r>
      <w:r>
        <w:t>30 Fälle (18,6 %) waren vermeidbar durch bessere Supportivtherapie (G-CSF-, antimikrobielle Prophylaxe, Antiemetika-Optimierung in 15 Fällen), Therapiemodifikation (6 Fälle), frühe Erkennung (6 Fälle) und Prävention vor Therapiestart (5 Fälle).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Universitätsklinik; Befunde zur Vermeidbarkeit sind systemunabhängig übertragbar.</w:t>
      </w:r>
    </w:p>
    <w:p>
      <w:r>
        <w:rPr>
          <w:color w:val="5A7D3A"/>
          <w:sz w:val="18"/>
        </w:rPr>
        <w:t>https://pubmed.ncbi.nlm.nih.gov/42867709/</w:t>
      </w:r>
    </w:p>
    <w:p>
      <w:pPr>
        <w:pStyle w:val="Heading2"/>
      </w:pPr>
      <w:r>
        <w:t>Helicobacter-pylori-Eradikation: Antibiotic-Stewardship-Prinzipien erhöhen Erfolgsrate</w:t>
      </w:r>
    </w:p>
    <w:p>
      <w:r>
        <w:rPr>
          <w:i/>
          <w:color w:val="666666"/>
          <w:sz w:val="18"/>
        </w:rPr>
        <w:t>Megraud F et al.  ·  Helicobacter  ·  Sept. 2026  ·  PMID 42867262</w:t>
      </w:r>
    </w:p>
    <w:p>
      <w:r>
        <w:t>Narrative Übersichtsarbeit zur Optimierung von H.-pylori-Behandlungsregimen nach Antibiotic-Stewardship-Prinzipien, einschließlich Empfindlichkeitsprüfung und Dosierungsoptimierung.</w:t>
      </w:r>
    </w:p>
    <w:p>
      <w:r>
        <w:rPr>
          <w:b/>
        </w:rPr>
        <w:t xml:space="preserve">Ergebnis: </w:t>
      </w:r>
      <w:r>
        <w:t>Optimierte Clarithromycin-Triple-Therapie (14 Tage mit Susceptibility-Testing, erhöhte Amoxicillin-Dosis &gt;2× täglich, PPI wie Rabeprazol oder Esomeprazol) und Bismut-Quadrupel-Therapie (3-in-1-Kapsel mit Standard- oder höherer PPI-Dosis) als Stewardship-konforme Regimen empfohlen. Eradikationskontrolle nach 4–6 Wochen erforderlich. Concomitant-Therapie erfüllt Stewardship-Prinzipien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Leitlinienentwicklung; Stewardship-Prinzipien zur Resistenzvermeidung sind direkt auf deutsche Versorgung übertragbar.</w:t>
      </w:r>
    </w:p>
    <w:p>
      <w:r>
        <w:rPr>
          <w:color w:val="5A7D3A"/>
          <w:sz w:val="18"/>
        </w:rPr>
        <w:t>https://pubmed.ncbi.nlm.nih.gov/42867262/</w:t>
      </w:r>
    </w:p>
    <w:p>
      <w:pPr>
        <w:pStyle w:val="Heading2"/>
      </w:pPr>
      <w:r>
        <w:t>Krankenhausverlegung unter Kriegsbedingungen: FMEA-gestützte Planung verhinderte alle Sicherheitsereignisse</w:t>
      </w:r>
    </w:p>
    <w:p>
      <w:r>
        <w:rPr>
          <w:i/>
          <w:color w:val="666666"/>
          <w:sz w:val="18"/>
        </w:rPr>
        <w:t>Etzioni T et al.  ·  Isr Med Assoc J  ·  Okt. 2026  ·  PMID 42867093</w:t>
      </w:r>
    </w:p>
    <w:p>
      <w:r>
        <w:t>Prospektive Qualitätsverbesserungsstudie zur Evaluierung eines multidisziplinären FMEA-Ansatzes (Failure Mode and Effects Analysis) zur Unterstützung der sicheren Verlegung von 84 Patienten in eine befestigte unterirdische Einrichtung während des Krieges.</w:t>
      </w:r>
    </w:p>
    <w:p>
      <w:r>
        <w:rPr>
          <w:b/>
        </w:rPr>
        <w:t xml:space="preserve">Ergebnis: </w:t>
      </w:r>
      <w:r>
        <w:t>Während 55 Tagen wurden 843 Patienten in der unterirdischen Einrichtung hospitalisiert. Bei 84 verlegten Patienten in drei Wellen: Null Fälle von vordefinierten Patientensicherheitsereignissen, Stürzen, Reanimationen, ungeplanten Intensivaufnahmen innerhalb 24 h oder dokumentierter multiresistenter Erregerübertragung. Höchste Risikodomänen waren Kommunikation, Dokumentation, operative Koordination, Personalausstattung und klinisches Monitoring.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Israel; FMEA-Methodik zur Risikominderung ist systematisch auf deutsche Krisenszenarios übertragbar.</w:t>
      </w:r>
    </w:p>
    <w:p>
      <w:r>
        <w:rPr>
          <w:color w:val="5A7D3A"/>
          <w:sz w:val="18"/>
        </w:rPr>
        <w:t>https://pubmed.ncbi.nlm.nih.gov/42867093/</w:t>
      </w:r>
    </w:p>
    <w:p>
      <w:pPr>
        <w:pStyle w:val="Heading2"/>
      </w:pPr>
      <w:r>
        <w:t>Unerwünschte Ereignisse in südkoreanischen Kliniken: 11,3 % der Patienten betroffen</w:t>
      </w:r>
    </w:p>
    <w:p>
      <w:r>
        <w:rPr>
          <w:i/>
          <w:color w:val="666666"/>
          <w:sz w:val="18"/>
        </w:rPr>
        <w:t>Cho DB et al.  ·  J Korean Med Sci  ·  12.10.2026  ·  PMID 42865287</w:t>
      </w:r>
    </w:p>
    <w:p>
      <w:r>
        <w:t>Standardisierte dreistufige Aktennachschau bei 5.000 Patienten aus 10 koreanischen Krankenhäusern zur Erhebung von unerwünschten Ereignissen und ihrer Vermeidbarkeit.</w:t>
      </w:r>
    </w:p>
    <w:p>
      <w:r>
        <w:rPr>
          <w:b/>
        </w:rPr>
        <w:t xml:space="preserve">Ergebnis: </w:t>
      </w:r>
      <w:r>
        <w:t>565 Patienten (11,3 %) mit 612 bestätigten unerwünschten Ereignissen identifiziert; davon 28,3 % als vermeidbar klassifiziert. Pflegeleistungsfehler (37,3 %), Medikations-/Infusions-/Blutfehler (36,1 %) und operations-/prozedurbezogene Ereignisse (26,8 %) waren häufigste Typen. 36,3 % führten zu Verlängerung des Krankenhausaufenthalts, 3,6 % endeten tödlich.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mit vergleichbarem Erfassungsystem; Methode und Fallzahlen für Deutschland relevant.</w:t>
      </w:r>
    </w:p>
    <w:p>
      <w:r>
        <w:rPr>
          <w:color w:val="5A7D3A"/>
          <w:sz w:val="18"/>
        </w:rPr>
        <w:t>https://pubmed.ncbi.nlm.nih.gov/42865287/</w:t>
      </w:r>
    </w:p>
    <w:p>
      <w:pPr>
        <w:pStyle w:val="Heading2"/>
      </w:pPr>
      <w:r>
        <w:t>Fehlermeldesystem: Automatische Erinnerungen erhöhen Absendeqote um 74 %</w:t>
      </w:r>
    </w:p>
    <w:p>
      <w:r>
        <w:rPr>
          <w:i/>
          <w:color w:val="666666"/>
          <w:sz w:val="18"/>
        </w:rPr>
        <w:t>Wang SC  ·  Appl Clin Inform  ·  12.10.2026  ·  PMID 42863845</w:t>
      </w:r>
    </w:p>
    <w:p>
      <w:r>
        <w:t>Retrospektive Log-Analyse von 6.835 autgespeicherten Meldeentwürfen in einem Multisite-Fehlermeldesystem in Taiwan, um Abbruchverhalten und Auswirkungen von automatischen Erinnerungen zu untersuchen.</w:t>
      </w:r>
    </w:p>
    <w:p>
      <w:r>
        <w:rPr>
          <w:b/>
        </w:rPr>
        <w:t xml:space="preserve">Ergebnis: </w:t>
      </w:r>
      <w:r>
        <w:t>79,0 % der 6.835 Entwürfe wurden eingereicht, 18,6 % gelöscht, 2,5 % ausstehend. Mittlere Bearbeitungszeit 15 min. 28,7 % der Entwürfe hatten mindestens einen Rückkehr-Zugriff. Von 1.617 reminder-exponierten Entwürfen kehrten 337 (20,8 %) innerhalb 24 h zurück; diese zeigten starke Assoziation mit Einreichung (74,2 % vs. 19,8 %, aOR 11,16).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Taiwanisches System; Designprinzipien für Meldesysteme sind systemübergreifend anwendbar.</w:t>
      </w:r>
    </w:p>
    <w:p>
      <w:r>
        <w:rPr>
          <w:color w:val="5A7D3A"/>
          <w:sz w:val="18"/>
        </w:rPr>
        <w:t>https://pubmed.ncbi.nlm.nih.gov/42863845/</w:t>
      </w:r>
    </w:p>
    <w:p>
      <w:pPr>
        <w:pStyle w:val="Heading2"/>
      </w:pPr>
      <w:r>
        <w:t>Radiopharmaka: Kollaborationsmängel zwischen Fachkräften gefährden Patientensicherheit</w:t>
      </w:r>
    </w:p>
    <w:p>
      <w:r>
        <w:rPr>
          <w:i/>
          <w:color w:val="666666"/>
          <w:sz w:val="18"/>
        </w:rPr>
        <w:t>Ramos-Membrive R et al.  ·  Phys Med  ·  24.09.2026  ·  PMID 42785035</w:t>
      </w:r>
    </w:p>
    <w:p>
      <w:r>
        <w:t>Landesweite Befragung von 52 Fachleuten aus 40 spanischen radiopharmakologischen Zentren zur Bewertung von Arbeitsabläufen, Aktivitätsprüfung, Qualitätskontrolle und Strahlensch uz sowie interprofessionellen Diskrepanzen.</w:t>
      </w:r>
    </w:p>
    <w:p>
      <w:r>
        <w:rPr>
          <w:b/>
        </w:rPr>
        <w:t xml:space="preserve">Ergebnis: </w:t>
      </w:r>
      <w:r>
        <w:t>78 % der Zentren führen Radiopharmaka-Herstellung in-house durch. Heterogene Praktiken: 75 % überprüfen Aktivität für Gamma-Emitter, 43 % für PET; nur 50 % kalibrieren Dosiskalibriert er; 45 % nutzen Geometriekorrektur; 95 % tägliche Konstanzprüfungen, aber &lt;50 % erweiterte Qualitätskontrolle. Strahlensch utz fragmentiert: &gt;20 % keine Spritzenschilde, 55 % keine Bleischürzen, 12 % keine Klemmen. 25 von 52 Zentren zeigten interprofessionelle Diskrepanzen.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mit vergleichbarem EU-Regulierungssystem; Sicherheitslücken in Radiopharmaka-Praxis auf Deutschland übertragbar.</w:t>
      </w:r>
    </w:p>
    <w:p>
      <w:r>
        <w:rPr>
          <w:color w:val="5A7D3A"/>
          <w:sz w:val="18"/>
        </w:rPr>
        <w:t>https://pubmed.ncbi.nlm.nih.gov/42785035/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