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28.08.2026  |  6 Studien  |  safety.m-vf.de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MRSA-Präventionsprogramm senkte Krankenhaus-Infektionen um 65%</w:t>
      </w:r>
    </w:p>
    <w:p>
      <w:r>
        <w:rPr>
          <w:i/>
          <w:color w:val="666666"/>
          <w:sz w:val="18"/>
        </w:rPr>
        <w:t>Maragakis LL et al.  ·  JAMA Netw Open  ·  03.08.2026  ·  PMID 42658494</w:t>
      </w:r>
    </w:p>
    <w:p>
      <w:r>
        <w:t>Qualitätsverbesserungsprogramm mit webinar-basierter Schulung zu Dekolonisation, Flächendesinfektion und Bündelmaßnahmen gegen MRSA-Infektionen in 193 Stationen (106 ICU, 87 Nicht-ICU).</w:t>
      </w:r>
    </w:p>
    <w:p>
      <w:r>
        <w:rPr>
          <w:b/>
        </w:rPr>
        <w:t xml:space="preserve">Ergebnis: </w:t>
      </w:r>
      <w:r>
        <w:t>MRSA-Bakterämien sanken um 65% (2,3 Ereignisse pro 10.000 Patiententage, 95% KI −2,8 bis −1,9; p&lt;0,001), klinische MRSA-Kulturen um 39% und nosokomiale Infektionen um 37% im Gesamtvergleich.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aber Bundel-Elemente auf deutsches System übertragbar.</w:t>
      </w:r>
    </w:p>
    <w:p>
      <w:r>
        <w:rPr>
          <w:color w:val="5A7D3A"/>
          <w:sz w:val="18"/>
        </w:rPr>
        <w:t>https://pubmed.ncbi.nlm.nih.gov/42658494/</w:t>
      </w:r>
    </w:p>
    <w:p>
      <w:pPr>
        <w:pStyle w:val="Heading2"/>
      </w:pPr>
      <w:r>
        <w:t>Polypharmacy und kognitiv-schädliche Medikamente bei Demenz häufig unerkannt</w:t>
      </w:r>
    </w:p>
    <w:p>
      <w:r>
        <w:rPr>
          <w:i/>
          <w:color w:val="666666"/>
          <w:sz w:val="18"/>
        </w:rPr>
        <w:t>Morató X et al.  ·  Alzheimers Dement  ·  Aug. 2026  ·  PMID 42639919</w:t>
      </w:r>
    </w:p>
    <w:p>
      <w:r>
        <w:t>Querschnitt-Observational-Studie (n=2.379) in Memory Clinic Barcelona: Polypharmacy (≥5 Medikamente), potentiell inadäquate Medikation (PIMs) und Medikamente mit kognitiver Toxizität anhand LLM-gestützter Datenextraktion untersucht.</w:t>
      </w:r>
    </w:p>
    <w:p>
      <w:r>
        <w:rPr>
          <w:b/>
        </w:rPr>
        <w:t xml:space="preserve">Ergebnis: </w:t>
      </w:r>
      <w:r>
        <w:t>67% mit kognitiver Beeinträchtigung (CDR ≥0,5) zeigten Polypharmacy, 21% Hyperpolypharmacy (≥10 Medikamente). 20,8% mit Polypharmacy hatten eingeschränkte Nierenfunktion. Schutzfaktor: höhere Bildung. LLM-Einsatz ermöglichte strukturierte Medikamentenanalyse.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medizinische Dokumentationspraxis vergleichbar; Praxisrelevanz für deutsche Gedächtnisambulanzen.</w:t>
      </w:r>
    </w:p>
    <w:p>
      <w:r>
        <w:rPr>
          <w:color w:val="5A7D3A"/>
          <w:sz w:val="18"/>
        </w:rPr>
        <w:t>https://pubmed.ncbi.nlm.nih.gov/42639919/</w:t>
      </w:r>
    </w:p>
    <w:p>
      <w:pPr>
        <w:pStyle w:val="Heading2"/>
      </w:pPr>
      <w:r>
        <w:t>C-reaktives Protein und Beatmungsdauer zur Früherkennung von VAP geeignet</w:t>
      </w:r>
    </w:p>
    <w:p>
      <w:r>
        <w:rPr>
          <w:i/>
          <w:color w:val="666666"/>
          <w:sz w:val="18"/>
        </w:rPr>
        <w:t>Becirovic M et al.  ·  Med Glas (Zenica)  ·  08.07.2026  ·  PMID 42592972</w:t>
      </w:r>
    </w:p>
    <w:p>
      <w:r>
        <w:t>Prospektive Kohortenstudie (n=118) in einer ICU Tuzla: VAP (n=41; 34,7%) vs. ohne VAP; Risikofaktoren, laborchemische Parameter und Mikrobiologie analysiert.</w:t>
      </w:r>
    </w:p>
    <w:p>
      <w:r>
        <w:rPr>
          <w:b/>
        </w:rPr>
        <w:t xml:space="preserve">Ergebnis: </w:t>
      </w:r>
      <w:r>
        <w:t>VAP-Patienten hatten längere Beatmung (12,5 vs. 7,3 Tage; p&lt;0,001), längerer Aufenthalt (19,6 vs. 12,2 Tage; p&lt;0,001), höhere CRP (178,2 vs. 126,4 mg/L; p&lt;0,001). CRP zeigte gute diskriminative Fähigkeit (AUC 0,83). Acinetobacter baumannii war Leitpathogen (43,9%).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Südosteuropa, vergleichbares öffentliches Gesundheitssystem; ICU-Schwelle erreicht.</w:t>
      </w:r>
    </w:p>
    <w:p>
      <w:r>
        <w:rPr>
          <w:color w:val="5A7D3A"/>
          <w:sz w:val="18"/>
        </w:rPr>
        <w:t>https://pubmed.ncbi.nlm.nih.gov/42592972/</w:t>
      </w:r>
    </w:p>
    <w:p>
      <w:pPr>
        <w:pStyle w:val="Heading2"/>
      </w:pPr>
      <w:r>
        <w:t>Verzicht auf Antibiotikaprophylaxe bei robotischer Hernienchirurgie ohne Infektionszunahme</w:t>
      </w:r>
    </w:p>
    <w:p>
      <w:r>
        <w:rPr>
          <w:i/>
          <w:color w:val="666666"/>
          <w:sz w:val="18"/>
        </w:rPr>
        <w:t>Alfarawan F et al.  ·  Hernia  ·  31.07.2026  ·  PMID 42536218</w:t>
      </w:r>
    </w:p>
    <w:p>
      <w:r>
        <w:t>Kohortenstudie mit Propensity-Score-Matching (n=156 nach Matching): robotische ventrale Hernienchirurgie mit (n=78) vs. ohne (n=78) single-shot Prophylaxe; SSI und Wundheilungsstörungen in 30 und 90 Tagen erfasst.</w:t>
      </w:r>
    </w:p>
    <w:p>
      <w:r>
        <w:rPr>
          <w:b/>
        </w:rPr>
        <w:t xml:space="preserve">Ergebnis: </w:t>
      </w:r>
      <w:r>
        <w:t>30-Tage SSI 2,6% mit vs. 1,3% ohne Prophylaxe (p=1,0), 90-Tage SSI 0%, Wundheilungsstörungen 12,8% vs. 15,4% (p=0,82). Kein Unterschied in Liegedauer (beide 2 Tage). Prophylaxe nicht protektiv in Multivarianz-Analyse.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deutschsprachige Studie; Antibiotic Stewardship Kriterium erfüllt.</w:t>
      </w:r>
    </w:p>
    <w:p>
      <w:r>
        <w:rPr>
          <w:color w:val="5A7D3A"/>
          <w:sz w:val="18"/>
        </w:rPr>
        <w:t>https://pubmed.ncbi.nlm.nih.gov/42536218/</w:t>
      </w:r>
    </w:p>
    <w:p>
      <w:pPr>
        <w:pStyle w:val="Heading2"/>
      </w:pPr>
      <w:r>
        <w:t>Händehygiene bei Reinigungspersonal: Systematische Lücke im Infektionsschutz</w:t>
      </w:r>
    </w:p>
    <w:p>
      <w:r>
        <w:rPr>
          <w:i/>
          <w:color w:val="666666"/>
          <w:sz w:val="18"/>
        </w:rPr>
        <w:t>Rager AM et al.  ·  Front Public Health  ·  16.07.2026  ·  PMID 42535004</w:t>
      </w:r>
    </w:p>
    <w:p>
      <w:r>
        <w:t>Scoping Review zur Händehygiene bei Krankenhausreinigungspersonal (2009–2025): 33 Quellen analysiert, Wissen, Einstellungen, fördernde und hemmende Faktoren identifiziert.</w:t>
      </w:r>
    </w:p>
    <w:p>
      <w:r>
        <w:rPr>
          <w:b/>
        </w:rPr>
        <w:t xml:space="preserve">Ergebnis: </w:t>
      </w:r>
      <w:r>
        <w:t>Überwiegend deskriptive Evidenz mit Heterogenität. Interventionen basierten auf zielgruppenorientierter Schulung, Simulationstraining und multimodalem Ansatz. Evidenzbasis klein; keine randomisierten Studien vorhanden. Intervention-Effekte nicht quantifiziert.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und europäisches Setting relevant; Arbeitsschutz und Betriebsrat klären.</w:t>
      </w:r>
    </w:p>
    <w:p>
      <w:r>
        <w:rPr>
          <w:color w:val="5A7D3A"/>
          <w:sz w:val="18"/>
        </w:rPr>
        <w:t>https://pubmed.ncbi.nlm.nih.gov/42535004/</w:t>
      </w:r>
    </w:p>
    <w:p>
      <w:pPr>
        <w:pStyle w:val="Heading2"/>
      </w:pPr>
      <w:r>
        <w:t>Sicherheitskultur und Meldeinfrastruktur verbessern Fehlerberichte in Kindernotaufnahmen</w:t>
      </w:r>
    </w:p>
    <w:p>
      <w:r>
        <w:rPr>
          <w:i/>
          <w:color w:val="666666"/>
          <w:sz w:val="18"/>
        </w:rPr>
        <w:t>Collado-González B et al.  ·  BMJ Open  ·  30.07.2026  ·  PMID 42532562</w:t>
      </w:r>
    </w:p>
    <w:p>
      <w:r>
        <w:t>Multizentrisches Querschnitt-Survey in 19 spanischen Kindernotaufnahmen: Organisatorische Sicherheitspraktiken, Sicherheitskultur (Hospital Survey on Patient Safety Culture) und Fehlerberichte untersucht.</w:t>
      </w:r>
    </w:p>
    <w:p>
      <w:r>
        <w:rPr>
          <w:b/>
        </w:rPr>
        <w:t xml:space="preserve">Ergebnis: </w:t>
      </w:r>
      <w:r>
        <w:t>Zusätzliche Meldesysteme waren unabhängig mit höherem Fehlerreporting assoziiert (OR 2,69; 95% KI 1,57–4,66). Patientensicherheitsspezialisten, Walkarounds und Simulationstraining zeigten günstigere Kultur-Scores (p&lt;0,001), aber nicht unabhängig mit Reporting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ähnliches Gesundheitssystem wie Deutschland; Meldeinfrastruktur zentral.</w:t>
      </w:r>
    </w:p>
    <w:p>
      <w:r>
        <w:rPr>
          <w:color w:val="5A7D3A"/>
          <w:sz w:val="18"/>
        </w:rPr>
        <w:t>https://pubmed.ncbi.nlm.nih.gov/42532562/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