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Patientensicherheit</w:t>
      </w:r>
    </w:p>
    <w:p>
      <w:r>
        <w:rPr>
          <w:i/>
          <w:color w:val="666666"/>
          <w:sz w:val="18"/>
        </w:rPr>
        <w:t>Stand: 28.08.2026  |  21 Studien  |  safety.m-vf.de</w:t>
      </w:r>
    </w:p>
    <w:p>
      <w:pPr>
        <w:pStyle w:val="Heading1"/>
      </w:pPr>
      <w:r>
        <w:t>Aufgenommen am 28.08.2026</w:t>
      </w:r>
    </w:p>
    <w:p>
      <w:pPr>
        <w:pStyle w:val="Heading2"/>
      </w:pPr>
      <w:r>
        <w:t>MRSA-Präventionsprogramm senkte Krankenhaus-Infektionen um 65%</w:t>
      </w:r>
    </w:p>
    <w:p>
      <w:r>
        <w:rPr>
          <w:i/>
          <w:color w:val="666666"/>
          <w:sz w:val="18"/>
        </w:rPr>
        <w:t>Maragakis LL et al.  ·  JAMA Netw Open  ·  03.08.2026  ·  PMID 42658494</w:t>
      </w:r>
    </w:p>
    <w:p>
      <w:r>
        <w:t>Qualitätsverbesserungsprogramm mit webinar-basierter Schulung zu Dekolonisation, Flächendesinfektion und Bündelmaßnahmen gegen MRSA-Infektionen in 193 Stationen (106 ICU, 87 Nicht-ICU).</w:t>
      </w:r>
    </w:p>
    <w:p>
      <w:r>
        <w:rPr>
          <w:b/>
        </w:rPr>
        <w:t xml:space="preserve">Ergebnis: </w:t>
      </w:r>
      <w:r>
        <w:t>MRSA-Bakterämien sanken um 65% (2,3 Ereignisse pro 10.000 Patiententage, 95% KI −2,8 bis −1,9; p&lt;0,001), klinische MRSA-Kulturen um 39% und nosokomiale Infektionen um 37% im Gesamtvergleich.</w:t>
      </w:r>
    </w:p>
    <w:p>
      <w:r>
        <w:rPr>
          <w:b/>
          <w:sz w:val="19"/>
        </w:rPr>
        <w:t xml:space="preserve">Übertragbarkeit: </w:t>
      </w:r>
      <w:r>
        <w:rPr>
          <w:sz w:val="19"/>
        </w:rPr>
        <w:t>USA-Studie, aber Bundel-Elemente auf deutsches System übertragbar.</w:t>
      </w:r>
    </w:p>
    <w:p>
      <w:r>
        <w:rPr>
          <w:color w:val="5A7D3A"/>
          <w:sz w:val="18"/>
        </w:rPr>
        <w:t>https://pubmed.ncbi.nlm.nih.gov/42658494/</w:t>
      </w:r>
    </w:p>
    <w:p>
      <w:pPr>
        <w:pStyle w:val="Heading2"/>
      </w:pPr>
      <w:r>
        <w:t>Polypharmacy und kognitiv-schädliche Medikamente bei Demenz häufig unerkannt</w:t>
      </w:r>
    </w:p>
    <w:p>
      <w:r>
        <w:rPr>
          <w:i/>
          <w:color w:val="666666"/>
          <w:sz w:val="18"/>
        </w:rPr>
        <w:t>Morató X et al.  ·  Alzheimers Dement  ·  Aug. 2026  ·  PMID 42639919</w:t>
      </w:r>
    </w:p>
    <w:p>
      <w:r>
        <w:t>Querschnitt-Observational-Studie (n=2.379) in Memory Clinic Barcelona: Polypharmacy (≥5 Medikamente), potentiell inadäquate Medikation (PIMs) und Medikamente mit kognitiver Toxizität anhand LLM-gestützter Datenextraktion untersucht.</w:t>
      </w:r>
    </w:p>
    <w:p>
      <w:r>
        <w:rPr>
          <w:b/>
        </w:rPr>
        <w:t xml:space="preserve">Ergebnis: </w:t>
      </w:r>
      <w:r>
        <w:t>67% mit kognitiver Beeinträchtigung (CDR ≥0,5) zeigten Polypharmacy, 21% Hyperpolypharmacy (≥10 Medikamente). 20,8% mit Polypharmacy hatten eingeschränkte Nierenfunktion. Schutzfaktor: höhere Bildung. LLM-Einsatz ermöglichte strukturierte Medikamentenanalyse.</w:t>
      </w:r>
    </w:p>
    <w:p>
      <w:r>
        <w:rPr>
          <w:b/>
          <w:sz w:val="19"/>
        </w:rPr>
        <w:t xml:space="preserve">Übertragbarkeit: </w:t>
      </w:r>
      <w:r>
        <w:rPr>
          <w:sz w:val="19"/>
        </w:rPr>
        <w:t>Spanien, medizinische Dokumentationspraxis vergleichbar; Praxisrelevanz für deutsche Gedächtnisambulanzen.</w:t>
      </w:r>
    </w:p>
    <w:p>
      <w:r>
        <w:rPr>
          <w:color w:val="5A7D3A"/>
          <w:sz w:val="18"/>
        </w:rPr>
        <w:t>https://pubmed.ncbi.nlm.nih.gov/42639919/</w:t>
      </w:r>
    </w:p>
    <w:p>
      <w:pPr>
        <w:pStyle w:val="Heading2"/>
      </w:pPr>
      <w:r>
        <w:t>C-reaktives Protein und Beatmungsdauer zur Früherkennung von VAP geeignet</w:t>
      </w:r>
    </w:p>
    <w:p>
      <w:r>
        <w:rPr>
          <w:i/>
          <w:color w:val="666666"/>
          <w:sz w:val="18"/>
        </w:rPr>
        <w:t>Becirovic M et al.  ·  Med Glas (Zenica)  ·  08.07.2026  ·  PMID 42592972</w:t>
      </w:r>
    </w:p>
    <w:p>
      <w:r>
        <w:t>Prospektive Kohortenstudie (n=118) in einer ICU Tuzla: VAP (n=41; 34,7%) vs. ohne VAP; Risikofaktoren, laborchemische Parameter und Mikrobiologie analysiert.</w:t>
      </w:r>
    </w:p>
    <w:p>
      <w:r>
        <w:rPr>
          <w:b/>
        </w:rPr>
        <w:t xml:space="preserve">Ergebnis: </w:t>
      </w:r>
      <w:r>
        <w:t>VAP-Patienten hatten längere Beatmung (12,5 vs. 7,3 Tage; p&lt;0,001), längerer Aufenthalt (19,6 vs. 12,2 Tage; p&lt;0,001), höhere CRP (178,2 vs. 126,4 mg/L; p&lt;0,001). CRP zeigte gute diskriminative Fähigkeit (AUC 0,83). Acinetobacter baumannii war Leitpathogen (43,9%).</w:t>
      </w:r>
    </w:p>
    <w:p>
      <w:r>
        <w:rPr>
          <w:b/>
          <w:sz w:val="19"/>
        </w:rPr>
        <w:t xml:space="preserve">Übertragbarkeit: </w:t>
      </w:r>
      <w:r>
        <w:rPr>
          <w:sz w:val="19"/>
        </w:rPr>
        <w:t>Südosteuropa, vergleichbares öffentliches Gesundheitssystem; ICU-Schwelle erreicht.</w:t>
      </w:r>
    </w:p>
    <w:p>
      <w:r>
        <w:rPr>
          <w:color w:val="5A7D3A"/>
          <w:sz w:val="18"/>
        </w:rPr>
        <w:t>https://pubmed.ncbi.nlm.nih.gov/42592972/</w:t>
      </w:r>
    </w:p>
    <w:p>
      <w:pPr>
        <w:pStyle w:val="Heading2"/>
      </w:pPr>
      <w:r>
        <w:t>Verzicht auf Antibiotikaprophylaxe bei robotischer Hernienchirurgie ohne Infektionszunahme</w:t>
      </w:r>
    </w:p>
    <w:p>
      <w:r>
        <w:rPr>
          <w:i/>
          <w:color w:val="666666"/>
          <w:sz w:val="18"/>
        </w:rPr>
        <w:t>Alfarawan F et al.  ·  Hernia  ·  31.07.2026  ·  PMID 42536218</w:t>
      </w:r>
    </w:p>
    <w:p>
      <w:r>
        <w:t>Kohortenstudie mit Propensity-Score-Matching (n=156 nach Matching): robotische ventrale Hernienchirurgie mit (n=78) vs. ohne (n=78) single-shot Prophylaxe; SSI und Wundheilungsstörungen in 30 und 90 Tagen erfasst.</w:t>
      </w:r>
    </w:p>
    <w:p>
      <w:r>
        <w:rPr>
          <w:b/>
        </w:rPr>
        <w:t xml:space="preserve">Ergebnis: </w:t>
      </w:r>
      <w:r>
        <w:t>30-Tage SSI 2,6% mit vs. 1,3% ohne Prophylaxe (p=1,0), 90-Tage SSI 0%, Wundheilungsstörungen 12,8% vs. 15,4% (p=0,82). Kein Unterschied in Liegedauer (beide 2 Tage). Prophylaxe nicht protektiv in Multivarianz-Analyse.</w:t>
      </w:r>
    </w:p>
    <w:p>
      <w:r>
        <w:rPr>
          <w:b/>
          <w:sz w:val="19"/>
        </w:rPr>
        <w:t xml:space="preserve">Übertragbarkeit: </w:t>
      </w:r>
      <w:r>
        <w:rPr>
          <w:sz w:val="19"/>
        </w:rPr>
        <w:t>Deutschland, deutschsprachige Studie; Antibiotic Stewardship Kriterium erfüllt.</w:t>
      </w:r>
    </w:p>
    <w:p>
      <w:r>
        <w:rPr>
          <w:color w:val="5A7D3A"/>
          <w:sz w:val="18"/>
        </w:rPr>
        <w:t>https://pubmed.ncbi.nlm.nih.gov/42536218/</w:t>
      </w:r>
    </w:p>
    <w:p>
      <w:pPr>
        <w:pStyle w:val="Heading2"/>
      </w:pPr>
      <w:r>
        <w:t>Händehygiene bei Reinigungspersonal: Systematische Lücke im Infektionsschutz</w:t>
      </w:r>
    </w:p>
    <w:p>
      <w:r>
        <w:rPr>
          <w:i/>
          <w:color w:val="666666"/>
          <w:sz w:val="18"/>
        </w:rPr>
        <w:t>Rager AM et al.  ·  Front Public Health  ·  16.07.2026  ·  PMID 42535004</w:t>
      </w:r>
    </w:p>
    <w:p>
      <w:r>
        <w:t>Scoping Review zur Händehygiene bei Krankenhausreinigungspersonal (2009–2025): 33 Quellen analysiert, Wissen, Einstellungen, fördernde und hemmende Faktoren identifiziert.</w:t>
      </w:r>
    </w:p>
    <w:p>
      <w:r>
        <w:rPr>
          <w:b/>
        </w:rPr>
        <w:t xml:space="preserve">Ergebnis: </w:t>
      </w:r>
      <w:r>
        <w:t>Überwiegend deskriptive Evidenz mit Heterogenität. Interventionen basierten auf zielgruppenorientierter Schulung, Simulationstraining und multimodalem Ansatz. Evidenzbasis klein; keine randomisierten Studien vorhanden. Intervention-Effekte nicht quantifiziert.</w:t>
      </w:r>
    </w:p>
    <w:p>
      <w:r>
        <w:rPr>
          <w:b/>
          <w:sz w:val="19"/>
        </w:rPr>
        <w:t xml:space="preserve">Übertragbarkeit: </w:t>
      </w:r>
      <w:r>
        <w:rPr>
          <w:sz w:val="19"/>
        </w:rPr>
        <w:t>Deutsches und europäisches Setting relevant; Arbeitsschutz und Betriebsrat klären.</w:t>
      </w:r>
    </w:p>
    <w:p>
      <w:r>
        <w:rPr>
          <w:color w:val="5A7D3A"/>
          <w:sz w:val="18"/>
        </w:rPr>
        <w:t>https://pubmed.ncbi.nlm.nih.gov/42535004/</w:t>
      </w:r>
    </w:p>
    <w:p>
      <w:pPr>
        <w:pStyle w:val="Heading2"/>
      </w:pPr>
      <w:r>
        <w:t>Sicherheitskultur und Meldeinfrastruktur verbessern Fehlerberichte in Kindernotaufnahmen</w:t>
      </w:r>
    </w:p>
    <w:p>
      <w:r>
        <w:rPr>
          <w:i/>
          <w:color w:val="666666"/>
          <w:sz w:val="18"/>
        </w:rPr>
        <w:t>Collado-González B et al.  ·  BMJ Open  ·  30.07.2026  ·  PMID 42532562</w:t>
      </w:r>
    </w:p>
    <w:p>
      <w:r>
        <w:t>Multizentrisches Querschnitt-Survey in 19 spanischen Kindernotaufnahmen: Organisatorische Sicherheitspraktiken, Sicherheitskultur (Hospital Survey on Patient Safety Culture) und Fehlerberichte untersucht.</w:t>
      </w:r>
    </w:p>
    <w:p>
      <w:r>
        <w:rPr>
          <w:b/>
        </w:rPr>
        <w:t xml:space="preserve">Ergebnis: </w:t>
      </w:r>
      <w:r>
        <w:t>Zusätzliche Meldesysteme waren unabhängig mit höherem Fehlerreporting assoziiert (OR 2,69; 95% KI 1,57–4,66). Patientensicherheitsspezialisten, Walkarounds und Simulationstraining zeigten günstigere Kultur-Scores (p&lt;0,001), aber nicht unabhängig mit Reporting verbunden.</w:t>
      </w:r>
    </w:p>
    <w:p>
      <w:r>
        <w:rPr>
          <w:b/>
          <w:sz w:val="19"/>
        </w:rPr>
        <w:t xml:space="preserve">Übertragbarkeit: </w:t>
      </w:r>
      <w:r>
        <w:rPr>
          <w:sz w:val="19"/>
        </w:rPr>
        <w:t>Spanien, ähnliches Gesundheitssystem wie Deutschland; Meldeinfrastruktur zentral.</w:t>
      </w:r>
    </w:p>
    <w:p>
      <w:r>
        <w:rPr>
          <w:color w:val="5A7D3A"/>
          <w:sz w:val="18"/>
        </w:rPr>
        <w:t>https://pubmed.ncbi.nlm.nih.gov/42532562/</w:t>
      </w:r>
    </w:p>
    <w:p>
      <w:pPr>
        <w:pStyle w:val="Heading1"/>
      </w:pPr>
      <w:r>
        <w:t>Aufgenommen am 27.08.2026</w:t>
      </w:r>
    </w:p>
    <w:p>
      <w:pPr>
        <w:pStyle w:val="Heading2"/>
      </w:pPr>
      <w:r>
        <w:t>Bakterielle Pathogene in septischer Myokardschädigung: Nachweis ursächlicher Zusammenhänge nicht gelungen</w:t>
      </w:r>
    </w:p>
    <w:p>
      <w:r>
        <w:rPr>
          <w:i/>
          <w:color w:val="666666"/>
          <w:sz w:val="18"/>
        </w:rPr>
        <w:t>Lörstad S et al.  ·  BMJ Open  ·  26.08.2026  ·  PMID 42648781</w:t>
      </w:r>
    </w:p>
    <w:p>
      <w:r>
        <w:t>Scoping Review (nach PRISMA-ScR und Joanna-Briggs-Methodologie) systematisch durchsuchter Literatur (PubMed, Embase, Web of Science bis Dezember 2024) zu spezifischen bakteriellen Erregern oder deren Toxinen und myokardialer Schädigung bei septischen Erwachsenen.</w:t>
      </w:r>
    </w:p>
    <w:p>
      <w:r>
        <w:rPr>
          <w:b/>
        </w:rPr>
        <w:t xml:space="preserve">Ergebnis: </w:t>
      </w:r>
      <w:r>
        <w:t>17 Studien eingeschlossen (3 Beobachtungskohorten mit 173 klinischen Patienten, 13 Fallberichte, 1 in-vitro-Studie): diverse Gram-negative und Gram-positive Erreger ohne konsistente Assoziation mit spezifischem Erreger oder Toxin. Myokardschädigung überwiegend durch Biomarker identifiziert, begrenzte Obduktionsbestätigungen. Keine Studie war für kausale oder vergleichende pathogene Mechanismen konzipiert. Verfügbare Daten zeigen heterogene infektiöse Kontexte ohne valide Erregerzuordnung.</w:t>
      </w:r>
    </w:p>
    <w:p>
      <w:r>
        <w:rPr>
          <w:b/>
          <w:sz w:val="19"/>
        </w:rPr>
        <w:t xml:space="preserve">Übertragbarkeit: </w:t>
      </w:r>
      <w:r>
        <w:rPr>
          <w:sz w:val="19"/>
        </w:rPr>
        <w:t>Skandinavien, Studiendesign zeigt Erkenntnislücke zur septischen Myokardschädigung; Implikation für Versorgung</w:t>
      </w:r>
    </w:p>
    <w:p>
      <w:r>
        <w:rPr>
          <w:color w:val="5A7D3A"/>
          <w:sz w:val="18"/>
        </w:rPr>
        <w:t>https://pubmed.ncbi.nlm.nih.gov/42648781/</w:t>
      </w:r>
    </w:p>
    <w:p>
      <w:pPr>
        <w:pStyle w:val="Heading2"/>
      </w:pPr>
      <w:r>
        <w:t>Arzneimittelkaskaden: 0,69%–3,29% Inzidenz vermeidbarer Medikationsfehler bei älteren Patienten</w:t>
      </w:r>
    </w:p>
    <w:p>
      <w:r>
        <w:rPr>
          <w:i/>
          <w:color w:val="666666"/>
          <w:sz w:val="18"/>
        </w:rPr>
        <w:t>Gervais F et al.  ·  Age Ageing  ·  03.08.2026  ·  PMID 42647768</w:t>
      </w:r>
    </w:p>
    <w:p>
      <w:r>
        <w:t>Analyse von 16,6 Mio. französischen Patientendaten ≥65 Jahren zur Häufigkeit von Arzneimittelkaskaden (unerwünschte Arzneimittelwirkungen, die fälschlicherweise als neue Erkrankung interpretiert werden und zu zusätzlichen Verschreibungen führen).</w:t>
      </w:r>
    </w:p>
    <w:p>
      <w:r>
        <w:rPr>
          <w:b/>
        </w:rPr>
        <w:t xml:space="preserve">Ergebnis: </w:t>
      </w:r>
      <w:r>
        <w:t>Bei 67% der Patienten mit kognitiver Beeinträchtigung lag Polypharmazie vor. Vier von sieben potenzielle Kaskaden zeigten signifikante positive Signale; stärkste: Benzodiazepin-Antipsychotika-Kaskade (adjustiertes Sequenzratio 2,48, 99%-KI 2,44–2,51) und Antipsychotika-Antiparkinson-Kaskade (2,01, 99%-KI 1,91–2,11). Inzidenz 0,69%–3,29%. Weibliches Geschlecht, Alter ≥85 Jahre, Hospitalisierungsbeginn der Indexmedikation und fehlende Verschreiberkontinuität waren mit höherem Kaskadenrisiko assoziiert.</w:t>
      </w:r>
    </w:p>
    <w:p>
      <w:r>
        <w:rPr>
          <w:b/>
          <w:sz w:val="19"/>
        </w:rPr>
        <w:t xml:space="preserve">Übertragbarkeit: </w:t>
      </w:r>
      <w:r>
        <w:rPr>
          <w:sz w:val="19"/>
        </w:rPr>
        <w:t>Frankreich, vergleichbar mit deutschem Sozialversicherungssystem und Dokumentationspflichten</w:t>
      </w:r>
    </w:p>
    <w:p>
      <w:r>
        <w:rPr>
          <w:color w:val="5A7D3A"/>
          <w:sz w:val="18"/>
        </w:rPr>
        <w:t>https://pubmed.ncbi.nlm.nih.gov/42647768/</w:t>
      </w:r>
    </w:p>
    <w:p>
      <w:pPr>
        <w:pStyle w:val="Heading2"/>
      </w:pPr>
      <w:r>
        <w:t>Periphere Vasopressoren: Protokollabweichungen führten selten zu klinisch relevanter Gewebeschädigung</w:t>
      </w:r>
    </w:p>
    <w:p>
      <w:r>
        <w:rPr>
          <w:i/>
          <w:color w:val="666666"/>
          <w:sz w:val="18"/>
        </w:rPr>
        <w:t>Shyu D et al.  ·  Crit Care Explor  ·  01.09.2026  ·  PMID 42640631</w:t>
      </w:r>
    </w:p>
    <w:p>
      <w:r>
        <w:t>Retrospektive Observationsstudie in 10 Krankenhäusern (Oktober 2020–Mai 2023) zu Abweichungen von einem institutionellen Protokoll für periphere Vasopressorengabe und deren Assoziation mit Extravasationen.</w:t>
      </w:r>
    </w:p>
    <w:p>
      <w:r>
        <w:rPr>
          <w:b/>
        </w:rPr>
        <w:t xml:space="preserve">Ergebnis: </w:t>
      </w:r>
      <w:r>
        <w:t>Von 3518 Patienten mit peripherer Vasopressorengabe hatten 1258 verdächtige Protokollabweichungen; 73 von 162 zur Detailrevision ausgewählten bestätigt: 86,3% überschritten Höchstdosis, 23 bekamen mehrere gleichzeitig, 13 infundiert &gt;24h, 13 periphere Vasopressin. 79,4% der Abweichungen bei Schock-Verschlimmerung vor zentralem Zugang. Extravasation: 13,7% (10 Patienten), 3 erhielten Phentolamin. In Sekundäranalyse: 47/3518 (1,3%) bekamen Phentolamin, davon 72,4% protokollkonform zum Zeitpunkt der Extravasation.</w:t>
      </w:r>
    </w:p>
    <w:p>
      <w:r>
        <w:rPr>
          <w:b/>
          <w:sz w:val="19"/>
        </w:rPr>
        <w:t xml:space="preserve">Übertragbarkeit: </w:t>
      </w:r>
      <w:r>
        <w:rPr>
          <w:sz w:val="19"/>
        </w:rPr>
        <w:t>USA, aber Sicherheitsbefund unabhängig von System; Frage der Protokollsicherheit übertragbar</w:t>
      </w:r>
    </w:p>
    <w:p>
      <w:r>
        <w:rPr>
          <w:color w:val="5A7D3A"/>
          <w:sz w:val="18"/>
        </w:rPr>
        <w:t>https://pubmed.ncbi.nlm.nih.gov/42640631/</w:t>
      </w:r>
    </w:p>
    <w:p>
      <w:pPr>
        <w:pStyle w:val="Heading2"/>
      </w:pPr>
      <w:r>
        <w:t>Spezielles Endotrachealtubus-System reduziert mikrobielle Vermischung zwischen Atemwegsetagen bei Beatmung</w:t>
      </w:r>
    </w:p>
    <w:p>
      <w:r>
        <w:rPr>
          <w:i/>
          <w:color w:val="666666"/>
          <w:sz w:val="18"/>
        </w:rPr>
        <w:t>Pilkowski AE et al.  ·  Respir Res  ·  01.08.2026  ·  PMID 42571013</w:t>
      </w:r>
    </w:p>
    <w:p>
      <w:r>
        <w:t>Randomisierte Pilotstudie (n=50, 21 mit kompletten Daten) zum Vergleich eines Spezial-Endotrachealtubus (Venner PneuX®) mit permanenter Cuff-Druckkontrolle, subglottischer Absaugung und biofilm-resistenter Beschichtung gegenüber Standard-Intubation bezüglich mikrobieller Austausche zwischen Atemwegsetagen als indirektes Messkriterium für Mikroaspiration bei Beatmungs-assoziierter Pneumonie (VAP).</w:t>
      </w:r>
    </w:p>
    <w:p>
      <w:r>
        <w:rPr>
          <w:b/>
        </w:rPr>
        <w:t xml:space="preserve">Ergebnis: </w:t>
      </w:r>
      <w:r>
        <w:t>Standard-Intubation führte zu progressiver mikrobieller Konvergenz zwischen Tubus und Trachealsekreten (Morisita-Horn 0,55→0,30, p=0,001) sowie Divergenz der Lungenregionen (0,08→0,31, p=0,003). Im Venner-PneuX-Gruppe zeigten sich keine signifikanten Distanzänderungen. Die Ergebnisse bieten biologische Plausibilität für bisher berichtete VAP-Reduktionen mit diesem System.</w:t>
      </w:r>
    </w:p>
    <w:p>
      <w:r>
        <w:rPr>
          <w:b/>
          <w:sz w:val="19"/>
        </w:rPr>
        <w:t xml:space="preserve">Übertragbarkeit: </w:t>
      </w:r>
      <w:r>
        <w:rPr>
          <w:sz w:val="19"/>
        </w:rPr>
        <w:t>Deutschland, prospektive Pilotdaten für klinisch relevante Prävention; externe Validierung ausstehend</w:t>
      </w:r>
    </w:p>
    <w:p>
      <w:r>
        <w:rPr>
          <w:color w:val="5A7D3A"/>
          <w:sz w:val="18"/>
        </w:rPr>
        <w:t>https://pubmed.ncbi.nlm.nih.gov/42571013/</w:t>
      </w:r>
    </w:p>
    <w:p>
      <w:pPr>
        <w:pStyle w:val="Heading2"/>
      </w:pPr>
      <w:r>
        <w:t>Therapieunterbrechungsfehler an automatisierten Dialysegeräten: 49 Fehlertypen systematisch kategorisiert und gelöst</w:t>
      </w:r>
    </w:p>
    <w:p>
      <w:r>
        <w:rPr>
          <w:i/>
          <w:color w:val="666666"/>
          <w:sz w:val="18"/>
        </w:rPr>
        <w:t>Albert A et al.  ·  BMC Health Serv Res  ·  08.08.2026  ·  PMID 42571003</w:t>
      </w:r>
    </w:p>
    <w:p>
      <w:r>
        <w:t>Retrospektive Analyse von Systemfehlern an HomeChoice-Dialysegeräten (2015–2023) in einer deutschen Referenzklinik mit Ziel, Therapieunterbrechungen zu dokumentieren und lösungsorientierte Strategien für Pflegepersonal und Patienten bereitzustellen.</w:t>
      </w:r>
    </w:p>
    <w:p>
      <w:r>
        <w:rPr>
          <w:b/>
        </w:rPr>
        <w:t xml:space="preserve">Ergebnis: </w:t>
      </w:r>
      <w:r>
        <w:t>49 verschiedene Fehlertypen in 138 Zwischenfällen über 8 Jahre identifiziert und in 8 Kategorien eingeteilt: Druckkammer-assoziiert (21,74%), Luft im System (19,57%, Fehler 2240 in 17,39%), Digitalboard/EEPROM (17,39%), Energiesystem (16,67%), Türöffnung (7,25%), Heizung (4,35%), ungeklärt (12,32%). Gesamt-Fehlerrate: &lt;0,25% der Behandlungssitzungen. Konkrete Troubleshooting-Algorithmen für Personal und Patienten bereitgestellt.</w:t>
      </w:r>
    </w:p>
    <w:p>
      <w:r>
        <w:rPr>
          <w:b/>
          <w:sz w:val="19"/>
        </w:rPr>
        <w:t xml:space="preserve">Übertragbarkeit: </w:t>
      </w:r>
      <w:r>
        <w:rPr>
          <w:sz w:val="19"/>
        </w:rPr>
        <w:t>Deutschland, routinelle Klinikdaten, direkt übertragbar für Schulung und Herstellerkommunikation</w:t>
      </w:r>
    </w:p>
    <w:p>
      <w:r>
        <w:rPr>
          <w:color w:val="5A7D3A"/>
          <w:sz w:val="18"/>
        </w:rPr>
        <w:t>https://pubmed.ncbi.nlm.nih.gov/42571003/</w:t>
      </w:r>
    </w:p>
    <w:p>
      <w:pPr>
        <w:pStyle w:val="Heading2"/>
      </w:pPr>
      <w:r>
        <w:t>Präoperative Optimierung vor Hüftgelenksersatz: kein signifikanter Effekt auf Infektionen oder Mortalität</w:t>
      </w:r>
    </w:p>
    <w:p>
      <w:r>
        <w:rPr>
          <w:i/>
          <w:color w:val="666666"/>
          <w:sz w:val="18"/>
        </w:rPr>
        <w:t>Sigurdardottir M et al.  ·  BMJ Open  ·  06.08.2026  ·  PMID 42562582</w:t>
      </w:r>
    </w:p>
    <w:p>
      <w:r>
        <w:t>Prospektive quasi-experimentelle Studie mit 1484 Patienten (Interventionsgruppe n=746, Kontrollgruppe n=738) zur Auswirkung eines multifaktoriellen Optimierungsprogramms 6–12 Monate vor elektiven Gelenkersatzoperationen auf oberflächliche Wundinfektionen (SSI), periprosthetic joint infections (PJI) und Mortalität über 3 Jahre.</w:t>
      </w:r>
    </w:p>
    <w:p>
      <w:r>
        <w:rPr>
          <w:b/>
        </w:rPr>
        <w:t xml:space="preserve">Ergebnis: </w:t>
      </w:r>
      <w:r>
        <w:t>Oberflächliche SSI nach 1 Jahr: 5,9% vs. 7,9% (HR 0,67, 95%-KI 0,45–1,01, nicht signifikant). PJI: 2,0% vs. 1,1% (HR 1,80, 95%-KI 0,76–4,30, nicht signifikant). Keine signifikanten Unterschiede bei Mortalität oder postoperativer Gesundheit nach 3 Jahren. Die Interventionsgruppe war zu 77% während der COVID-19-Pandemie operiert worden versus 5% in der Kontrollgruppe.</w:t>
      </w:r>
    </w:p>
    <w:p>
      <w:r>
        <w:rPr>
          <w:b/>
          <w:sz w:val="19"/>
        </w:rPr>
        <w:t xml:space="preserve">Übertragbarkeit: </w:t>
      </w:r>
      <w:r>
        <w:rPr>
          <w:sz w:val="19"/>
        </w:rPr>
        <w:t>Island, Strukturen ähnlich deutschem Gesundheitswesen, klare Lessons-learned für Qualitätsinterventionen</w:t>
      </w:r>
    </w:p>
    <w:p>
      <w:r>
        <w:rPr>
          <w:color w:val="5A7D3A"/>
          <w:sz w:val="18"/>
        </w:rPr>
        <w:t>https://pubmed.ncbi.nlm.nih.gov/42562582/</w:t>
      </w:r>
    </w:p>
    <w:p>
      <w:pPr>
        <w:pStyle w:val="Heading1"/>
      </w:pPr>
      <w:r>
        <w:t>Aufgenommen am 26.08.2026</w:t>
      </w:r>
    </w:p>
    <w:p>
      <w:pPr>
        <w:pStyle w:val="Heading2"/>
      </w:pPr>
      <w:r>
        <w:t>Verzögerte Antibiotikaverordnung mit Entscheidungshilfe reduzierte unangemessene Anwendung um ein Drittel</w:t>
      </w:r>
    </w:p>
    <w:p>
      <w:r>
        <w:rPr>
          <w:i/>
          <w:color w:val="666666"/>
          <w:sz w:val="18"/>
        </w:rPr>
        <w:t>Sievert EDC et al.  ·  Appl Psychol Health Well Being  ·  Aug. 2026  ·  PMID 42568140</w:t>
      </w:r>
    </w:p>
    <w:p>
      <w:r>
        <w:t>Online-Experiment mit 663 britischen Erwachsenen zur Wirkung von WHO-Entscheidungshilfematerial auf verzögerte Antibiotikaverordnungen bei vermuteten Virusinfektionen unter Verhaltensanreizen.</w:t>
      </w:r>
    </w:p>
    <w:p>
      <w:r>
        <w:rPr>
          <w:b/>
        </w:rPr>
        <w:t xml:space="preserve">Ergebnis: </w:t>
      </w:r>
      <w:r>
        <w:t>Unangemessene Antibiotikaverwendung war in allen Entscheidungsunterstützungs-Bedingungen niedriger als in Kontrolle (p&lt;0,001, ηG²=0,02). Entscheidungskonflikt sank signifikant in Interventions-Armen (p&lt;0,001, ηG²=0,02) durch verbesserte Wertklarheit und wahrgenommene Unterstützung. Kombination aus Entscheidungshilfe, Wertintegration und aktivem Symptommonitoring zeigte beste Effekte.</w:t>
      </w:r>
    </w:p>
    <w:p>
      <w:r>
        <w:rPr>
          <w:b/>
          <w:sz w:val="19"/>
        </w:rPr>
        <w:t xml:space="preserve">Übertragbarkeit: </w:t>
      </w:r>
      <w:r>
        <w:rPr>
          <w:sz w:val="19"/>
        </w:rPr>
        <w:t>UK mit NHS-Struktur; Antibiotika-Stewardship-Prinzipien in Deutschland etabliert, Übertragbarkeit gut.</w:t>
      </w:r>
    </w:p>
    <w:p>
      <w:r>
        <w:rPr>
          <w:color w:val="5A7D3A"/>
          <w:sz w:val="18"/>
        </w:rPr>
        <w:t>https://pubmed.ncbi.nlm.nih.gov/42568140/</w:t>
      </w:r>
    </w:p>
    <w:p>
      <w:pPr>
        <w:pStyle w:val="Heading2"/>
      </w:pPr>
      <w:r>
        <w:t>Strukturiertes Infektionsrisiko-Assessment identifiziert 65 % der Patienten als gefährdet</w:t>
      </w:r>
    </w:p>
    <w:p>
      <w:r>
        <w:rPr>
          <w:i/>
          <w:color w:val="666666"/>
          <w:sz w:val="18"/>
        </w:rPr>
        <w:t>Luís TB et al.  ·  Front Public Health  ·  23.07.2026  ·  PMID 42564447</w:t>
      </w:r>
    </w:p>
    <w:p>
      <w:r>
        <w:t>Multizentrisches Querschnitts-Observatorium mit 1.092 hospitalisierten Erwachsenen in Portugal zur Prävalenz und Risikofaktoren für Infektionen mittels RAC-Skala (Risk Assessment for Infection).</w:t>
      </w:r>
    </w:p>
    <w:p>
      <w:r>
        <w:rPr>
          <w:b/>
        </w:rPr>
        <w:t xml:space="preserve">Ergebnis: </w:t>
      </w:r>
      <w:r>
        <w:t>Moderate (53,6 %) oder hohe (11,4 %) Infektionsrisiken nach Perzentil-Stratifikation. Höhere Risiken assoziiert mit Alter, Multimorbidität, beeinträchtigter Gewebsintegrität, reduzierter Mobilität, Vorspitalisierung, Verlegung, Liegedauer, invasiven Prozeduren. ROC-Analyse mit guter Diskriminierung; Medizin-Stationen hatten signifikant höhere Risikoscores als Chirurgie.</w:t>
      </w:r>
    </w:p>
    <w:p>
      <w:r>
        <w:rPr>
          <w:b/>
          <w:sz w:val="19"/>
        </w:rPr>
        <w:t xml:space="preserve">Übertragbarkeit: </w:t>
      </w:r>
      <w:r>
        <w:rPr>
          <w:sz w:val="19"/>
        </w:rPr>
        <w:t>Portugal/SÜDEUROPA mit ähnlichen Dokumentationssystemen; RAC-Skala als strukturiertes Instrument universell anwendbar.</w:t>
      </w:r>
    </w:p>
    <w:p>
      <w:r>
        <w:rPr>
          <w:color w:val="5A7D3A"/>
          <w:sz w:val="18"/>
        </w:rPr>
        <w:t>https://pubmed.ncbi.nlm.nih.gov/42564447/</w:t>
      </w:r>
    </w:p>
    <w:p>
      <w:pPr>
        <w:pStyle w:val="Heading1"/>
      </w:pPr>
      <w:r>
        <w:t>Aufgenommen am 25.08.2026</w:t>
      </w:r>
    </w:p>
    <w:p>
      <w:pPr>
        <w:pStyle w:val="Heading2"/>
      </w:pPr>
      <w:r>
        <w:t>Online-adaptive Radiotherapie: Systemische FMEA identifiziert 300 Fehlermöglichkeiten</w:t>
      </w:r>
    </w:p>
    <w:p>
      <w:r>
        <w:rPr>
          <w:i/>
          <w:color w:val="666666"/>
          <w:sz w:val="18"/>
        </w:rPr>
        <w:t>Balaji D et al.  ·  J Appl Clin Med Phys  ·  Sept. 2026  ·  PMID 42638337</w:t>
      </w:r>
    </w:p>
    <w:p>
      <w:r>
        <w:t>Systematische Literaturübersicht von 11 Studien analysiert Fehlermodi und deren Auswirkungen (FMEA) in Workflows der Online-Adaptive Radiotherapie (MR-guided, CBCT-guided, MR-enhanced C-arm Systeme).</w:t>
      </w:r>
    </w:p>
    <w:p>
      <w:r>
        <w:rPr>
          <w:b/>
        </w:rPr>
        <w:t xml:space="preserve">Ergebnis: </w:t>
      </w:r>
      <w:r>
        <w:t>300 einzigartige Fehlermodi identifiziert, 49,6% als hochriskant (Klasse III) klassifiziert. Hochriskante Fehler konzentrieren sich in Online-Behandlungs-Phase, besonders bei Mensch-Computer-Interaktion und anatomischer Konturierung. Analyse zeigt Heterogenität in Risiko-Bewertungsmethoden, harmonisiert zu 3er-Klassifikation (Class I: niedrig, II: mittel, III: hoch).</w:t>
      </w:r>
    </w:p>
    <w:p>
      <w:r>
        <w:rPr>
          <w:b/>
          <w:sz w:val="19"/>
        </w:rPr>
        <w:t xml:space="preserve">Übertragbarkeit: </w:t>
      </w:r>
      <w:r>
        <w:rPr>
          <w:sz w:val="19"/>
        </w:rPr>
        <w:t>Deutschland und Benelux, vergleichbare Qualitätsmanagementsysteme in klinischen Zentren</w:t>
      </w:r>
    </w:p>
    <w:p>
      <w:r>
        <w:rPr>
          <w:color w:val="5A7D3A"/>
          <w:sz w:val="18"/>
        </w:rPr>
        <w:t>https://pubmed.ncbi.nlm.nih.gov/42638337/</w:t>
      </w:r>
    </w:p>
    <w:p>
      <w:pPr>
        <w:pStyle w:val="Heading2"/>
      </w:pPr>
      <w:r>
        <w:t>Nosokomiale Ausbrüche in Hämatologie-Onkologie: Strukturierte Analyse identifiziert Risikofaktoren</w:t>
      </w:r>
    </w:p>
    <w:p>
      <w:r>
        <w:rPr>
          <w:i/>
          <w:color w:val="666666"/>
          <w:sz w:val="18"/>
        </w:rPr>
        <w:t>Posselt SL et al.  ·  BMC Infect Dis  ·  20.08.2026  ·  PMID 42638092</w:t>
      </w:r>
    </w:p>
    <w:p>
      <w:r>
        <w:t>Strukturierte Analyse von 196 nosokomialen Ausbrüchen in Hämatologie und Onkologie aus internationaler Datenbank mit Betrachtung von Infektionserregern, Übertragungswegen und implementierten Infektionskontrollmaßnahmen.</w:t>
      </w:r>
    </w:p>
    <w:p>
      <w:r>
        <w:rPr>
          <w:b/>
        </w:rPr>
        <w:t xml:space="preserve">Ergebnis: </w:t>
      </w:r>
      <w:r>
        <w:t>Blutstream- und untere Atemwegsinfektionen waren am häufigsten; Pseudomonas aeruginosa und Enterokokken als Haupterreger. Multivariable Analyse identifizierte als unabhängig assoziiert mit hohem Infektionskontrollaufwand: Pilzerreger (OR 6,26; KI 1,60–24,44), multiresistente Bakterien (OR 6,01; KI 2,56–14,09), antibiotische Therapie (OR 2,97; KI 1,05–8,38), ≥10 Patienten in Ausbruch (OR 2,54; KI 1,11–5,81), direkter Kontakttransfer (OR 3,42; KI 1,43–8,16). Untere Atemwegsinfektionen stark assoziiert mit Mortalität (OR 7,95; KI 2,06–30,73).</w:t>
      </w:r>
    </w:p>
    <w:p>
      <w:r>
        <w:rPr>
          <w:b/>
          <w:sz w:val="19"/>
        </w:rPr>
        <w:t xml:space="preserve">Übertragbarkeit: </w:t>
      </w:r>
      <w:r>
        <w:rPr>
          <w:sz w:val="19"/>
        </w:rPr>
        <w:t>Deutschland, vergleichbare Surveillance-Standards und Dokumentationspflichten</w:t>
      </w:r>
    </w:p>
    <w:p>
      <w:r>
        <w:rPr>
          <w:color w:val="5A7D3A"/>
          <w:sz w:val="18"/>
        </w:rPr>
        <w:t>https://pubmed.ncbi.nlm.nih.gov/42638092/</w:t>
      </w:r>
    </w:p>
    <w:p>
      <w:pPr>
        <w:pStyle w:val="Heading2"/>
      </w:pPr>
      <w:r>
        <w:t>Arzneimittelwechselwirkungen: Unterschiede zwischen Schweizer und österreichischem Meldesystem</w:t>
      </w:r>
    </w:p>
    <w:p>
      <w:r>
        <w:rPr>
          <w:i/>
          <w:color w:val="666666"/>
          <w:sz w:val="18"/>
        </w:rPr>
        <w:t>Rainer M et al.  ·  PLoS One  ·  21.08.2026  ·  PMID 42627821</w:t>
      </w:r>
    </w:p>
    <w:p>
      <w:r>
        <w:t>Retrospektive Analyse von 1499 Meldungen zu Arzneimittelwechselwirkungen in Pharmakvigilanz-Systemen der Schweiz (n=1159) und Österreich (n=340) zwischen 2008 und April 2024 mit Fokus auf Unterschiede in Meldevolumen, Qualität und Systemeigenheiten.</w:t>
      </w:r>
    </w:p>
    <w:p>
      <w:r>
        <w:rPr>
          <w:b/>
        </w:rPr>
        <w:t xml:space="preserve">Ergebnis: </w:t>
      </w:r>
      <w:r>
        <w:t>Schweiz meldete 3,4-mal mehr Fälle als Österreich (5,8 vs. 1,7 Fälle/Monat). 80% (CH) bzw. 84% (Ö) als schwerwiegend klassifiziert. Polypharmie stark assoziiert mit schwerwiegenden Folgen (CH: ROR 3,71; KI 3,26–4,23, p&lt;0,0001; Ö: ROR 1,98; KI 1,60–2,44, p&lt;0,0001). Unterschiede in Meldeinhalten: Schweiz eher Mechanismen, Österreich eher Symptome. Unterschiede deuten auf Rolle von Systemdesign und klinischer Pharmazie hin.</w:t>
      </w:r>
    </w:p>
    <w:p>
      <w:r>
        <w:rPr>
          <w:b/>
          <w:sz w:val="19"/>
        </w:rPr>
        <w:t xml:space="preserve">Übertragbarkeit: </w:t>
      </w:r>
      <w:r>
        <w:rPr>
          <w:sz w:val="19"/>
        </w:rPr>
        <w:t>DACH, vergleichbare Gesundheitssysteme und Pharmakvigilanz-Strukturen</w:t>
      </w:r>
    </w:p>
    <w:p>
      <w:r>
        <w:rPr>
          <w:color w:val="5A7D3A"/>
          <w:sz w:val="18"/>
        </w:rPr>
        <w:t>https://pubmed.ncbi.nlm.nih.gov/42627821/</w:t>
      </w:r>
    </w:p>
    <w:p>
      <w:pPr>
        <w:pStyle w:val="Heading2"/>
      </w:pPr>
      <w:r>
        <w:t>Antibiotic Stewardship bei Harnwegsinfektionen im Alter senkte Resistenzen</w:t>
      </w:r>
    </w:p>
    <w:p>
      <w:r>
        <w:rPr>
          <w:i/>
          <w:color w:val="666666"/>
          <w:sz w:val="18"/>
        </w:rPr>
        <w:t>Attauabi M et al.  ·  Euro Surveill  ·  Aug. 2026  ·  PMID 42626792</w:t>
      </w:r>
    </w:p>
    <w:p>
      <w:r>
        <w:t>Nationale Registerstudie in Dänemark (1999–2023) untersucht Zusammenhang zwischen Antibiotikaverbrauch und Resistenzentwicklung gegen Pivmecillinam, Trimethoprim, Nitrofurantoin und Sulfamethizol bei Patienten ≥70 Jahren; Fokus auf Qualitätsverbesserungen seit 2005.</w:t>
      </w:r>
    </w:p>
    <w:p>
      <w:r>
        <w:rPr>
          <w:b/>
        </w:rPr>
        <w:t xml:space="preserve">Ergebnis: </w:t>
      </w:r>
      <w:r>
        <w:t>Höchster Antibiotikaverbrauch 2014 (447 Rezepte pro 1000 Personen ≥70 Jahre), bis 2023 um 28,4% gesunken. Resistenz gegen alle vier Substanzen in E. coli und K. pneumoniae signifikant rückläufig 2018–2023. Stewardship-Intensivierung nach 2013 mit aktualisierten Leitlinien positiv auf Verbrauch und Resistenzen wirksam.</w:t>
      </w:r>
    </w:p>
    <w:p>
      <w:r>
        <w:rPr>
          <w:b/>
          <w:sz w:val="19"/>
        </w:rPr>
        <w:t xml:space="preserve">Übertragbarkeit: </w:t>
      </w:r>
      <w:r>
        <w:rPr>
          <w:sz w:val="19"/>
        </w:rPr>
        <w:t>Skandinavien, vergleichbare Surveillance-Infrastruktur und Stewardship-Rahmenbedingungen</w:t>
      </w:r>
    </w:p>
    <w:p>
      <w:r>
        <w:rPr>
          <w:color w:val="5A7D3A"/>
          <w:sz w:val="18"/>
        </w:rPr>
        <w:t>https://pubmed.ncbi.nlm.nih.gov/42626792/</w:t>
      </w:r>
    </w:p>
    <w:p>
      <w:pPr>
        <w:pStyle w:val="Heading2"/>
      </w:pPr>
      <w:r>
        <w:t>Nosokomiale Infektionen nach Gastrointestinal-Krebsoperation: Neoadjuvante Radiotherapie als Risikofaktor</w:t>
      </w:r>
    </w:p>
    <w:p>
      <w:r>
        <w:rPr>
          <w:i/>
          <w:color w:val="666666"/>
          <w:sz w:val="18"/>
        </w:rPr>
        <w:t>Fieraru IM et al.  ·  Front Public Health  ·  05.08.2026  ·  PMID 42620635</w:t>
      </w:r>
    </w:p>
    <w:p>
      <w:r>
        <w:t>Prospektive Beobachtungsstudie in rumänischem Zentrum (211 Patienten, Mai 2023–Juli 2024) an Magen- und Kolonkarzinom-Operationen: 30-Tage-Infektionen dokumentiert, Risikofaktoren analysiert, Antibiotikaresistenzprofil beschrieben.</w:t>
      </w:r>
    </w:p>
    <w:p>
      <w:r>
        <w:rPr>
          <w:b/>
        </w:rPr>
        <w:t xml:space="preserve">Ergebnis: </w:t>
      </w:r>
      <w:r>
        <w:t>15,6% entwickelten ≥1 nosokomiale Infektion (39 Episoden). Chirurgische Wundinfektionen dominant nach unterem GI-Trakt (~46%), Geräte-/Atemwegsinfektionen nach oberem Trakt (~38%). Neoadjuvante Radiotherapie unabhängiger Risikofaktor bei Kolonkarzinom (adj. OR 3,25; KI 1,15–9,19; p=0,026). Von 27 kulturpositiven Isolaten 44,4% multiresistent, einschließlich Carbapenemase-Produzenten; 36,4% Infektionen ohne Kulturdokumentation.</w:t>
      </w:r>
    </w:p>
    <w:p>
      <w:r>
        <w:rPr>
          <w:b/>
          <w:sz w:val="19"/>
        </w:rPr>
        <w:t xml:space="preserve">Übertragbarkeit: </w:t>
      </w:r>
      <w:r>
        <w:rPr>
          <w:sz w:val="19"/>
        </w:rPr>
        <w:t>Osteuropa, aber Infektionserkennung und Dokumentationslücken sind universell relevant</w:t>
      </w:r>
    </w:p>
    <w:p>
      <w:r>
        <w:rPr>
          <w:color w:val="5A7D3A"/>
          <w:sz w:val="18"/>
        </w:rPr>
        <w:t>https://pubmed.ncbi.nlm.nih.gov/42620635/</w:t>
      </w:r>
    </w:p>
    <w:p>
      <w:pPr>
        <w:pStyle w:val="Heading2"/>
      </w:pPr>
      <w:r>
        <w:t>Pediatrisches Trigger-Tool für Deutschsprachige Kinder identifiziert Schäden reliabel</w:t>
      </w:r>
    </w:p>
    <w:p>
      <w:r>
        <w:rPr>
          <w:i/>
          <w:color w:val="666666"/>
          <w:sz w:val="18"/>
        </w:rPr>
        <w:t>Peters A et al.  ·  Eur J Pediatr  ·  17.08.2026  ·  PMID 42608613</w:t>
      </w:r>
    </w:p>
    <w:p>
      <w:r>
        <w:t>Methodische Studie in deutscher Kinderkardiologie (200 stationäre Patienten) entwickelt und validiert das Paediatric Trigger Tool German (PAED-TT-GER) zur retrospektiven Erkennung unerwünschter Ereignisse in Kinderkrankenhäusern.</w:t>
      </w:r>
    </w:p>
    <w:p>
      <w:r>
        <w:rPr>
          <w:b/>
        </w:rPr>
        <w:t xml:space="preserve">Ergebnis: </w:t>
      </w:r>
      <w:r>
        <w:t>57 Trigger ausgewählt (54 Normalstation + 3 PICU). Interrater-Reliabilität gut (ICC 0,794; KI 0,557–0,906). In 200 Patienten 472 Trigger identifiziert (Mittel 2,36/Patient), 45 unerwünschte Ereignisse in 42/200 Patienten (21%) bestätigt. NCC-MERP-Klassifikation: 24 Ereignisse temporärer Schaden mit Intervention (E), 19 verlängerte Hospitalisierung (F), 2 permanenter Schaden (G); 7 (15,6%) präventabel bewertet.</w:t>
      </w:r>
    </w:p>
    <w:p>
      <w:r>
        <w:rPr>
          <w:b/>
          <w:sz w:val="19"/>
        </w:rPr>
        <w:t xml:space="preserve">Übertragbarkeit: </w:t>
      </w:r>
      <w:r>
        <w:rPr>
          <w:sz w:val="19"/>
        </w:rPr>
        <w:t>Deutsches Kinderkardiologie-Zentrum, unmittelbar auf deutsches System übertragbar</w:t>
      </w:r>
    </w:p>
    <w:p>
      <w:r>
        <w:rPr>
          <w:color w:val="5A7D3A"/>
          <w:sz w:val="18"/>
        </w:rPr>
        <w:t>https://pubmed.ncbi.nlm.nih.gov/42608613/</w:t>
      </w:r>
    </w:p>
    <w:p>
      <w:pPr>
        <w:pStyle w:val="Heading2"/>
      </w:pPr>
      <w:r>
        <w:t>Hand-Hygiene-Champion-Programm erhöht Compliance auf Intensivstationen signifikant</w:t>
      </w:r>
    </w:p>
    <w:p>
      <w:r>
        <w:rPr>
          <w:i/>
          <w:color w:val="666666"/>
          <w:sz w:val="18"/>
        </w:rPr>
        <w:t>Batalla MGA et al.  ·  Br J Nurs  ·  06.08.2026  ·  PMID 42555589</w:t>
      </w:r>
    </w:p>
    <w:p>
      <w:r>
        <w:t>Qualitätsverbesserungsprojekt in zwei britischen Universitätsklinika (Februar 2025–Februar 2026) implementiert Hand-Hygiene-Champion-Rolle und misst deren Effekt auf Händehygiene-Compliance in der Intensivmedizin mit Plan-Do-Study-Act-Zyklus.</w:t>
      </w:r>
    </w:p>
    <w:p>
      <w:r>
        <w:rPr>
          <w:b/>
        </w:rPr>
        <w:t xml:space="preserve">Ergebnis: </w:t>
      </w:r>
      <w:r>
        <w:t>Händehygiene-Compliance signifikant höher in Interventionsgruppe mit Champions als in Kontrollgruppe. Compliance stieg über Zeit signifikant post-Implementierung der Hand-Hygiene-Champions an. Programm zeigt Praktikabilität zur Verbesserung Händehygiene-Einhaltung in ICU.</w:t>
      </w:r>
    </w:p>
    <w:p>
      <w:r>
        <w:rPr>
          <w:b/>
          <w:sz w:val="19"/>
        </w:rPr>
        <w:t xml:space="preserve">Übertragbarkeit: </w:t>
      </w:r>
      <w:r>
        <w:rPr>
          <w:sz w:val="19"/>
        </w:rPr>
        <w:t>Vereinigtes Königreich, aber aktive Surveillance mit Peer-Coaching ist international übertragbar</w:t>
      </w:r>
    </w:p>
    <w:p>
      <w:r>
        <w:rPr>
          <w:color w:val="5A7D3A"/>
          <w:sz w:val="18"/>
        </w:rPr>
        <w:t>https://pubmed.ncbi.nlm.nih.gov/42555589/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Patientensicherheit</dc:title>
  <dc:subject/>
  <dc:creator>Monitor Versorgungsforschung</dc:creator>
  <cp:keywords/>
  <dc:description>generated by python-docx</dc:description>
  <cp:lastModifiedBy/>
  <cp:revision>1</cp:revision>
  <dcterms:created xsi:type="dcterms:W3CDTF">2026-08-28T06:00:00Z</dcterms:created>
  <dcterms:modified xsi:type="dcterms:W3CDTF">2026-08-28T06:00:00Z</dcterms:modified>
  <cp:category/>
</cp:coreProperties>
</file>