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05.09.2026  |  7 Studien  |  safety.m-vf.de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Infektionskontrollprogramme erhöhen Händehygiene-Compliance um 30–40 Prozent</w:t>
      </w:r>
    </w:p>
    <w:p>
      <w:r>
        <w:rPr>
          <w:i/>
          <w:color w:val="666666"/>
          <w:sz w:val="18"/>
        </w:rPr>
        <w:t>Böff L et al.  ·  BMJ Open  ·  04.09.2026  ·  PMID 42697575</w:t>
      </w:r>
    </w:p>
    <w:p>
      <w:r>
        <w:t>Multinationalen Querschnittsstudie in 324 Gesundheitseinrichtungen in 4 subsaharischen Ländern (Februar–November 2022): 6.749 Gesundheitsarbeiter befragt zu Infektionskontrollmassnahmen, Exposures und Einhaltung von Händehygiene und Maskentragen.</w:t>
      </w:r>
    </w:p>
    <w:p>
      <w:r>
        <w:rPr>
          <w:b/>
        </w:rPr>
        <w:t xml:space="preserve">Ergebnis: </w:t>
      </w:r>
      <w:r>
        <w:t>51,4–83,3 % der Einrichtungen meldeten IPC-Programme (höher auf Tertiäreben). Nur 19,8 % hatten Handdesinfektionsmittel in jedem Zimmer. Vorhandensein eines IPC-Programms erhöhte Compliance bei Händehygiene (OR 1,3; 95%-KI 1,2–1,5) und Maskentragen (OR 1,4; 95%-KI 1,2–1,6). IPC-Training erhöhte Händehygiene-Compliance (OR 1,5; 95%-KI 1,3–1,7). Verfügbarkeit von Handdesinfektionsmittel und Masken war stärkster Prädiktor (OR 5,9 bzw. 2,3).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Sub-Sahara-Afrika, aber Programmlogik auf deutsche Kliniken unter Ressourcenbedingungen übertragbar</w:t>
      </w:r>
    </w:p>
    <w:p>
      <w:r>
        <w:rPr>
          <w:color w:val="5A7D3A"/>
          <w:sz w:val="18"/>
        </w:rPr>
        <w:t>https://pubmed.ncbi.nlm.nih.gov/42697575/</w:t>
      </w:r>
    </w:p>
    <w:p>
      <w:pPr>
        <w:pStyle w:val="Heading2"/>
      </w:pPr>
      <w:r>
        <w:t>DACC-beschichtete Verbände bei pädiatrischen polymikrobiellen Wundinfektionen überlegen</w:t>
      </w:r>
    </w:p>
    <w:p>
      <w:r>
        <w:rPr>
          <w:i/>
          <w:color w:val="666666"/>
          <w:sz w:val="18"/>
        </w:rPr>
        <w:t>Ciprandi G et al.  ·  J Wound Care  ·  02.09.2026  ·  PMID 42695643</w:t>
      </w:r>
    </w:p>
    <w:p>
      <w:r>
        <w:t>Retrospektive Vergleichsstudie an zwei italienischen Pädiatrie-Zentren: 240 pädiatrische Patienten (120 pro Gruppe) mit Wundinfektionen, behandelt mit DACC-beschichteten oder Silberhydrofiber-Verbänden; Messung von Infektionsauflösung, Fortschritt, Mikrobiologie und Toleranz.</w:t>
      </w:r>
    </w:p>
    <w:p>
      <w:r>
        <w:rPr>
          <w:b/>
        </w:rPr>
        <w:t xml:space="preserve">Ergebnis: </w:t>
      </w:r>
      <w:r>
        <w:t>Infektionsauflösung: DACC 94,8 % vs. Silberhydrofiber 79,0 % (p=0,05). Keine Progression/Verschlechterung: DACC 4,2 % vs. 13,5 % (p=0,03) bzw. 2,5 % vs. 7,5 % (p=0,005). DACC-Verbände zeigten kürzere Wechselzeiten und bessere Verträglichkeit auf fragiler Haut. Häufig WHO-Prioritätserreger in Kulturen.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deutschsprachiger Pädiatrie-Standard vergleichbar</w:t>
      </w:r>
    </w:p>
    <w:p>
      <w:r>
        <w:rPr>
          <w:color w:val="5A7D3A"/>
          <w:sz w:val="18"/>
        </w:rPr>
        <w:t>https://pubmed.ncbi.nlm.nih.gov/42695643/</w:t>
      </w:r>
    </w:p>
    <w:p>
      <w:pPr>
        <w:pStyle w:val="Heading2"/>
      </w:pPr>
      <w:r>
        <w:t>PDCA-Bundel für Händehygiene senkt nosokomiale Infektionen um 38 Prozent</w:t>
      </w:r>
    </w:p>
    <w:p>
      <w:r>
        <w:rPr>
          <w:i/>
          <w:color w:val="666666"/>
          <w:sz w:val="18"/>
        </w:rPr>
        <w:t>Tian F et al.  ·  J Vis Exp  ·  03.09.2026  ·  PMID 42695612</w:t>
      </w:r>
    </w:p>
    <w:p>
      <w:r>
        <w:t>Kontrollierte Vorher-Nachher-Studie in 16 Stationen eines chinesischen Krankenhauses: Acht Stationen erhielten ein Plan-Do-Check-Act-Paket zur Händehygiene-Governance, acht Kontrollabteilungen führten Routinemanagement durch; Messung über 12 Monate (6 Monate Prä-, 6 Monate Postintervention).</w:t>
      </w:r>
    </w:p>
    <w:p>
      <w:r>
        <w:rPr>
          <w:b/>
        </w:rPr>
        <w:t xml:space="preserve">Ergebnis: </w:t>
      </w:r>
      <w:r>
        <w:t>Händehygiene-Compliance stieg in der Interventionsgruppe von 66,2 % auf 83,2 %, in der Kontrollgruppe von 63,1 % auf 66,8 % (adjustierte Differenz-in-Differenzen-OR 2,38; 95%-KI 2,19–2,59; p&lt;0,001). Nosokomiale Infektionen sanken von 7,07 auf 4,37 pro 1.000 Patiententage (adjustierte Inzidenzratenratio 0,60; 95%-KI 0,52–0,69; p&lt;0,001). Das PDCA-Paket war mit verbesserter Compliance, niedrigerer Infektionsrate und höherer Pflegequalität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Governance-Zyklus übertragbar auf deutsches Stations-QM</w:t>
      </w:r>
    </w:p>
    <w:p>
      <w:r>
        <w:rPr>
          <w:color w:val="5A7D3A"/>
          <w:sz w:val="18"/>
        </w:rPr>
        <w:t>https://pubmed.ncbi.nlm.nih.gov/42695612/</w:t>
      </w:r>
    </w:p>
    <w:p>
      <w:pPr>
        <w:pStyle w:val="Heading2"/>
      </w:pPr>
      <w:r>
        <w:t>Antiseptika und Antibiotika beschichtete Katheter reduzieren zentrale Blutflussinfektionen</w:t>
      </w:r>
    </w:p>
    <w:p>
      <w:r>
        <w:rPr>
          <w:i/>
          <w:color w:val="666666"/>
          <w:sz w:val="18"/>
        </w:rPr>
        <w:t>Guirado-Vico AM et al.  ·  J Infus Nurs  ·  25.08.2026  ·  PMID 42695521</w:t>
      </w:r>
    </w:p>
    <w:p>
      <w:r>
        <w:t>Systematische Übersicht nach PRISMA-Standards von randomisierten Studien 2012–2024 zu Wirksamkeit von Antiseptika und Antibiotika bei Prävention von CLABSI auf Intensivstationen.</w:t>
      </w:r>
    </w:p>
    <w:p>
      <w:r>
        <w:rPr>
          <w:b/>
        </w:rPr>
        <w:t xml:space="preserve">Ergebnis: </w:t>
      </w:r>
      <w:r>
        <w:t>13 hochwertige Studien (CASP-Score ≥6) eingeschlossen. Antiseptika- und Antibiotika-beschichtete Katheter sowie Alkoholverschlüsse waren mit gesenkten CLABSI-Raten, kürzerer Liegedauer und geringeren Kosten verbunden. Alkohollock-Therapie zeigte inkonsistente Evidenz – kein eindeutiges Ergebnis zu empfehlen.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USA/Kanada-Zentren, vergleichbare ICU-Standards, aber CLABSI-Definitionen und Kostenstrukturen unterscheiden sich</w:t>
      </w:r>
    </w:p>
    <w:p>
      <w:r>
        <w:rPr>
          <w:color w:val="5A7D3A"/>
          <w:sz w:val="18"/>
        </w:rPr>
        <w:t>https://pubmed.ncbi.nlm.nih.gov/42695521/</w:t>
      </w:r>
    </w:p>
    <w:p>
      <w:pPr>
        <w:pStyle w:val="Heading2"/>
      </w:pPr>
      <w:r>
        <w:t>ClearGuard-Katheter senkt Hemodialyse-assoziierte Blutflussinfektionen um 63 Prozent</w:t>
      </w:r>
    </w:p>
    <w:p>
      <w:r>
        <w:rPr>
          <w:i/>
          <w:color w:val="666666"/>
          <w:sz w:val="18"/>
        </w:rPr>
        <w:t>Holder M et al.  ·  J Infus Nurs  ·  25.08.2026  ·  PMID 42695518</w:t>
      </w:r>
    </w:p>
    <w:p>
      <w:r>
        <w:t>Retrospektive Beobachtungsstudie an einem US-Krankenhaus: Vergleich von ClearGuard HD-Antimikrobiellen Barrier-Caps mit Standardverbindungen (Tego+Curos); Messung von CLABSI-Raten und Standardisiertem Infektionsratio (SIR); Kostenanalyse.</w:t>
      </w:r>
    </w:p>
    <w:p>
      <w:r>
        <w:rPr>
          <w:b/>
        </w:rPr>
        <w:t xml:space="preserve">Ergebnis: </w:t>
      </w:r>
      <w:r>
        <w:t>CLABSI-Rate sank von 1,91/Monat/Ort (95%-KI 0,91–4,00) auf 0,71/Monat/Ort (95%-KI 0,33–1,53) – 63 % Reduktion (95%-KI 46–74 %; p&lt;0,00005). SIR sank von 0,721 auf 0,310 (57 % Reduktion). Geschätzter jährlicher Kostensparnis: 1,6 Millionen Dollar. Klinisch signifikante Senkung ohne aufgearbeitete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CLABSI-Mechanismus und Kostenlogik unter deutschem DRG-System geprüft werden</w:t>
      </w:r>
    </w:p>
    <w:p>
      <w:r>
        <w:rPr>
          <w:color w:val="5A7D3A"/>
          <w:sz w:val="18"/>
        </w:rPr>
        <w:t>https://pubmed.ncbi.nlm.nih.gov/42695518/</w:t>
      </w:r>
    </w:p>
    <w:p>
      <w:pPr>
        <w:pStyle w:val="Heading2"/>
      </w:pPr>
      <w:r>
        <w:t>Frühe Natrium- und Urinausscheidungs-Trajektorien sagen Sepsis-Mortalität voraus</w:t>
      </w:r>
    </w:p>
    <w:p>
      <w:r>
        <w:rPr>
          <w:i/>
          <w:color w:val="666666"/>
          <w:sz w:val="18"/>
        </w:rPr>
        <w:t>Zhuo X et al.  ·  J Glob Health  ·  04.09.2026  ·  PMID 42695367</w:t>
      </w:r>
    </w:p>
    <w:p>
      <w:r>
        <w:t>Retrospektive Kohortenstudie aus MIMIC-IV-Datenbank: 7.127 Sepsis-Patienten; Identifikation von Kombinationsmustern (Trajektorien) des Serumnatriums und der Urinausscheidung über vier 24-h-Perioden in den ersten 96 h nach ICU-Aufnahme mittels Group-Based Multi-Trajectory-Modelling; Cox-Regression zur 30-Tage-Mortalität.</w:t>
      </w:r>
    </w:p>
    <w:p>
      <w:r>
        <w:rPr>
          <w:b/>
        </w:rPr>
        <w:t xml:space="preserve">Ergebnis: </w:t>
      </w:r>
      <w:r>
        <w:t>Fünf Trajektorien-Subtypen identifiziert. Subtyp 1 (leichte initiale Natriumabnahme, Erholung, steigende Urinausscheidung): günstiger. Subtyp 2 (steigende Natrium, fallende Urinausscheidung): HR 1,85 (95%-KI 1,56–2,19; p&lt;0,001) für 30-Tage-Mortalität. Subtypen 4 und 5 auch erhöhtes Risiko (HR 1,31 bzw. 1,53). Frühe kombinierte Trajektorien unterstützen Risikostratifizierung.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USA-Datenbank, aber physiologische Mechanismen universell, nur Outcome-Definition anpassen</w:t>
      </w:r>
    </w:p>
    <w:p>
      <w:r>
        <w:rPr>
          <w:color w:val="5A7D3A"/>
          <w:sz w:val="18"/>
        </w:rPr>
        <w:t>https://pubmed.ncbi.nlm.nih.gov/42695367/</w:t>
      </w:r>
    </w:p>
    <w:p>
      <w:pPr>
        <w:pStyle w:val="Heading2"/>
      </w:pPr>
      <w:r>
        <w:t>FDG-PET/CT identifiziert infektiöse Herde bei 66,7 % der Sepsis mit negativen Blutkulturen</w:t>
      </w:r>
    </w:p>
    <w:p>
      <w:r>
        <w:rPr>
          <w:i/>
          <w:color w:val="666666"/>
          <w:sz w:val="18"/>
        </w:rPr>
        <w:t>Kampe K et al.  ·  Crit Care Explor  ·  01.09.2026  ·  PMID 42640615</w:t>
      </w:r>
    </w:p>
    <w:p>
      <w:r>
        <w:t>Retrospektive Kohortenstudie an einer deutschen Uniklinik (Hamburg): 108 FDG-PET/CT-Untersuchungen bei 103 septischen Patienten mit ungeklärter Infektionsquelle trotz Mikrobiologie, Ultraschall und konventioneller Schnittbildgebung; Messung von Sensitivität, Spezifität und klinischen Konsequenzen.</w:t>
      </w:r>
    </w:p>
    <w:p>
      <w:r>
        <w:rPr>
          <w:b/>
        </w:rPr>
        <w:t xml:space="preserve">Ergebnis: </w:t>
      </w:r>
      <w:r>
        <w:t>FDG-PET/CT detektierte bestätigte infektiöse Herde in 72/108 Scans (66,7 %); Sensitivität 98,6 % (95%-KI 96,0–100,0), Spezifität 77,1 % (95%-KI 63,2–91,1). 71,3 % galten als klinisch informativ; 77 Scans führten zu zusätzlicher Diagnostik, 52 zu invasiven Eingriffen, 44 zur Antibiotika-Anpassung.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Universitätsklinik, ICU-Infrastruktur direktübertragbar</w:t>
      </w:r>
    </w:p>
    <w:p>
      <w:r>
        <w:rPr>
          <w:color w:val="5A7D3A"/>
          <w:sz w:val="18"/>
        </w:rPr>
        <w:t>https://pubmed.ncbi.nlm.nih.gov/42640615/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