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12.10.2026  |  7 Studien  |  safety.m-vf.de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Nanopartikel-Beschichtung senkte Umgebungskeime auf Intensivstationen um 26,5 %</w:t>
      </w:r>
    </w:p>
    <w:p>
      <w:r>
        <w:rPr>
          <w:i/>
          <w:color w:val="666666"/>
          <w:sz w:val="18"/>
        </w:rPr>
        <w:t>Varma S et al.  ·  J Infect Dev Ctries  ·  30.09.2026  ·  PMID 42858349</w:t>
      </w:r>
    </w:p>
    <w:p>
      <w:r>
        <w:t>Studie an zwei Intensivstationen eines Trauma-Zentrums in Indien verglich die Wirkung einer Titandioxid-Nanopartikel-Beschichtung gegen Routinereinigung.</w:t>
      </w:r>
    </w:p>
    <w:p>
      <w:r>
        <w:rPr>
          <w:b/>
        </w:rPr>
        <w:t xml:space="preserve">Ergebnis: </w:t>
      </w:r>
      <w:r>
        <w:t>Auf der beschichteten Station sanken positive Umweltabstriche um 26,5 %, auf der Kontrollstation stiegen sie um 160,9 % (p = 0,000). Ventilator-assoziierte Pneumonie sank um 72,5 %; zentrale Kathetersepsis und Harnwegsinfektionen stiegen. Die Beschichtung könnte Standardmethoden supplementieren, weitere Studien zur Kosteneffektivität sind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Trauma-Zentrum; Übertragbarkeit auf Deutschland begrenzt durch Ressourcenlage, aber Konzept einer zusätzlichen Desinfektionsmassnahme prüfenswert.</w:t>
      </w:r>
    </w:p>
    <w:p>
      <w:r>
        <w:rPr>
          <w:color w:val="5A7D3A"/>
          <w:sz w:val="18"/>
        </w:rPr>
        <w:t>https://pubmed.ncbi.nlm.nih.gov/42858349/</w:t>
      </w:r>
    </w:p>
    <w:p>
      <w:pPr>
        <w:pStyle w:val="Heading2"/>
      </w:pPr>
      <w:r>
        <w:t>Händehygiene-Compliance während COVID-19 stieg auf 33,1 %, fiel danach auf 14,7 %</w:t>
      </w:r>
    </w:p>
    <w:p>
      <w:r>
        <w:rPr>
          <w:i/>
          <w:color w:val="666666"/>
          <w:sz w:val="18"/>
        </w:rPr>
        <w:t>Mlouki I et al.  ·  J Infect Dev Ctries  ·  30.09.2026  ·  PMID 42858347</w:t>
      </w:r>
    </w:p>
    <w:p>
      <w:r>
        <w:t>Beobachtungsstudie an einem tunesischen Universitätsklinikum analysierte Trends in der Händehygiene-Compliance von 2020 bis 2023 unter Gesundheitspersonal.</w:t>
      </w:r>
    </w:p>
    <w:p>
      <w:r>
        <w:rPr>
          <w:b/>
        </w:rPr>
        <w:t xml:space="preserve">Ergebnis: </w:t>
      </w:r>
      <w:r>
        <w:t>Von 993 dokumentierten Handhygiene-Gelegenheiten: Gesamtcompliance 22,1 %, mit Gipfel 33,1 % im Jahr 2022 und Rückfall auf 14,7 % im Jahr 2023. Nach Patientenkontakt höher (28,4 % vs. 39 %, p = 0,08). Compliance in Hochrisiko-Abteilungen und bei invasiven Verfahren besser. Kontinuierliche Überwachung und institutionelle Unterstützung notwendig, um Rückfälle zu verhindern.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Tunesien; ähnliche Herausforderungen bei Nachhaltigkeitsdefizit wie in Mitteleuropa, braucht aber Kontext lokaler Ressourcen.</w:t>
      </w:r>
    </w:p>
    <w:p>
      <w:r>
        <w:rPr>
          <w:color w:val="5A7D3A"/>
          <w:sz w:val="18"/>
        </w:rPr>
        <w:t>https://pubmed.ncbi.nlm.nih.gov/42858347/</w:t>
      </w:r>
    </w:p>
    <w:p>
      <w:pPr>
        <w:pStyle w:val="Heading2"/>
      </w:pPr>
      <w:r>
        <w:t>Breispektrum-Antibiotika verdreifachten sich bei CRE-Blutstrominfektionen während COVID-19</w:t>
      </w:r>
    </w:p>
    <w:p>
      <w:r>
        <w:rPr>
          <w:i/>
          <w:color w:val="666666"/>
          <w:sz w:val="18"/>
        </w:rPr>
        <w:t>Xu L et al.  ·  J Infect Dev Ctries  ·  30.09.2026  ·  PMID 42858345</w:t>
      </w:r>
    </w:p>
    <w:p>
      <w:r>
        <w:t>Retrospektive Kohortenstudie in China untersuchte die Auswirkung der COVID-19-Pandemie auf Häufigkeit carbapenem-resistenter Enterobacteriaceae-Blutstrominfektionen und Antibiotikaverbrauch.</w:t>
      </w:r>
    </w:p>
    <w:p>
      <w:r>
        <w:rPr>
          <w:b/>
        </w:rPr>
        <w:t xml:space="preserve">Ergebnis: </w:t>
      </w:r>
      <w:r>
        <w:t>184 CRE-BSI-Fälle über drei Zeiträume; CRE-BSI-Raten stabil (7,81 bis 9,63 pro 100.000 Hospitalisierungstage). Antibiotikaverbrauch stieg signifikant (p &lt; 0,001), Cephalosporine-Nutzung bei CRE-Patienten um 50 % erhöht. Carbapenem-Resistenzrate 18,6–19,0 % ohne signifikante Unterschiede. Breite Antibiotika-Eskalation war nicht gerechtfertigt und trägt zur Resistenzentwicklung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einzelnes Zentrum; zeigt Stewardship-Versäumnisse, die typisch für Pandemie-Krisen auch in Deutschland auftraten.</w:t>
      </w:r>
    </w:p>
    <w:p>
      <w:r>
        <w:rPr>
          <w:color w:val="5A7D3A"/>
          <w:sz w:val="18"/>
        </w:rPr>
        <w:t>https://pubmed.ncbi.nlm.nih.gov/42858345/</w:t>
      </w:r>
    </w:p>
    <w:p>
      <w:pPr>
        <w:pStyle w:val="Heading2"/>
      </w:pPr>
      <w:r>
        <w:t>Chinesischer Expertenkonsens: Risikomanagement im klinisch-pathologischen Labor – acht Schlüsselfragen beantwortet</w:t>
      </w:r>
    </w:p>
    <w:p>
      <w:r>
        <w:rPr>
          <w:i/>
          <w:color w:val="666666"/>
          <w:sz w:val="18"/>
        </w:rPr>
        <w:t>Quality and Competency Management Group, Professional Committee of Tumor Pathology, China Anti-Cancer Association  ·  Zhonghua Bing Li Xue Za Zhi  ·  08.10.2026  ·  PMID 42851194</w:t>
      </w:r>
    </w:p>
    <w:p>
      <w:r>
        <w:t>Strukturierter Konsens der Chinese Anti-Cancer Association zur systematischen Risikoidenti­fizierung, -bewertung und -kontrolle in klinisch-pathologischen Laboratorien, basierend auf ISO- und CNAS-Standards.</w:t>
      </w:r>
    </w:p>
    <w:p>
      <w:r>
        <w:rPr>
          <w:b/>
        </w:rPr>
        <w:t xml:space="preserve">Ergebnis: </w:t>
      </w:r>
      <w:r>
        <w:t>Der Konsens adressiert acht klinische Fragen; definiert Risiko-Dimensionen: technische Operationen, biologische Sicherheit, Datenmanagement, Qualitätskontrolle. Kernprinzipien: Patientensicherheit und Diagnosequalität als Leitziel, strukturierte Risikopfade (Identifikation, Bewertung, Kontrolle, kontinuierliche Verbesserung). Praktische Managementmassnahmen für Pathologie-Labore etabliert. Ziel: Anhebung des Risiko-Bewusstseins und Optimierung der Ressourcen-Allokation.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ISO-Standards und CNAS-Kriterien international gültig; Konsens-Methodik übertragbar auf deutsche Laboratorien nach RiliBÄK.</w:t>
      </w:r>
    </w:p>
    <w:p>
      <w:r>
        <w:rPr>
          <w:color w:val="5A7D3A"/>
          <w:sz w:val="18"/>
        </w:rPr>
        <w:t>https://pubmed.ncbi.nlm.nih.gov/42851194/</w:t>
      </w:r>
    </w:p>
    <w:p>
      <w:pPr>
        <w:pStyle w:val="Heading2"/>
      </w:pPr>
      <w:r>
        <w:t>JAAM-DIC-Score: Sensitivität 81,5 % zur Vorhersage von 28-Tage-Mortalität bei Sepsis-Koagulopathie</w:t>
      </w:r>
    </w:p>
    <w:p>
      <w:r>
        <w:rPr>
          <w:i/>
          <w:color w:val="666666"/>
          <w:sz w:val="18"/>
        </w:rPr>
        <w:t>Hannan M et al.  ·  J Coll Physicians Surg Pak  ·  Okt. 2026  ·  PMID 42851092</w:t>
      </w:r>
    </w:p>
    <w:p>
      <w:r>
        <w:t>Prospektive analytische Studie mit 150 Sepsis-Patienten auf einer Intensivstation in Pakistan evaluierte die Vorhersagekraft des JAAM-DIC-Scores für 28-Tage-Mortalität.</w:t>
      </w:r>
    </w:p>
    <w:p>
      <w:r>
        <w:rPr>
          <w:b/>
        </w:rPr>
        <w:t xml:space="preserve">Ergebnis: </w:t>
      </w:r>
      <w:r>
        <w:t>72 Patienten (48,0 %) mit JAAM-DIC-Score ≥4. 28-Tage-Mortalität 43,3 % (65 Todesfälle). JAAM-DIC: Sensitivität 81,5 %, Spezifität 77,6 %, PPV 73,6 %, NPV 84,6 %, diagnostische Genauigkeit 79,3 %. Score war durchführbar zur Risiko­stratifizierung von hochriskanten septischen Patienten mit DIC.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Pakistan, Intensivmedizin; Score-Validierung international, deutsches Sepsis-Management würde ähnlich profitieren.</w:t>
      </w:r>
    </w:p>
    <w:p>
      <w:r>
        <w:rPr>
          <w:color w:val="5A7D3A"/>
          <w:sz w:val="18"/>
        </w:rPr>
        <w:t>https://pubmed.ncbi.nlm.nih.gov/42851092/</w:t>
      </w:r>
    </w:p>
    <w:p>
      <w:pPr>
        <w:pStyle w:val="Heading2"/>
      </w:pPr>
      <w:r>
        <w:t>SOFA-Score vorhersagekräftiger als Biomarker für Sepsis-Mortalität auf ländlicher Intensivstation</w:t>
      </w:r>
    </w:p>
    <w:p>
      <w:r>
        <w:rPr>
          <w:i/>
          <w:color w:val="666666"/>
          <w:sz w:val="18"/>
        </w:rPr>
        <w:t>Reddy H et al.  ·  Clin Lab  ·  01.10.2026  ·  PMID 42847956</w:t>
      </w:r>
    </w:p>
    <w:p>
      <w:r>
        <w:t>Querschnittsstudie mit 300 Patienten auf einer ländlichen Intensivstation in Indien verglich kritische Scores und Biomarker zur Prognose von Sepsis-Mortalität und Beatmungsbedarf.</w:t>
      </w:r>
    </w:p>
    <w:p>
      <w:r>
        <w:rPr>
          <w:b/>
        </w:rPr>
        <w:t xml:space="preserve">Ergebnis: </w:t>
      </w:r>
      <w:r>
        <w:t>SOFA mit Cutoff ≥9 beste Vorhersage (OR: 2,98, p &lt; 0,001, Sensitivität 94 %, Spezifität 86 %). APACHE IV (Cutoff &gt;71, AUC 0,840) und NLPR (Cutoff &gt;3,1, AUC 0,716) signifikant. PaO₂/FiO₂ negativ korreliert mit Mortalität (OR 0,022, p &lt; 0,001) und Beatmungsbedarf. 70 Todesfälle in der Kohorte. In ressourcenlimitierten Umgebungen ist NLPR pragmatische Alternative.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ländliches Setting; SOFA-Überlegenheit aber auch in deutschen Zentren mit besseren Ressourcen etabliert.</w:t>
      </w:r>
    </w:p>
    <w:p>
      <w:r>
        <w:rPr>
          <w:color w:val="5A7D3A"/>
          <w:sz w:val="18"/>
        </w:rPr>
        <w:t>https://pubmed.ncbi.nlm.nih.gov/42847956/</w:t>
      </w:r>
    </w:p>
    <w:p>
      <w:pPr>
        <w:pStyle w:val="Heading2"/>
      </w:pPr>
      <w:r>
        <w:t>Pichia-kudriavzevii-Ausbruch über sechs Krankenhäuser hinweg, ein Stamm seit 1935 nachweisbar</w:t>
      </w:r>
    </w:p>
    <w:p>
      <w:r>
        <w:rPr>
          <w:i/>
          <w:color w:val="666666"/>
          <w:sz w:val="18"/>
        </w:rPr>
        <w:t>Spruijtenburg B et al.  ·  Med Mycol  ·  05.08.2026  ·  PMID 42560405</w:t>
      </w:r>
    </w:p>
    <w:p>
      <w:r>
        <w:t>Molekularepidemiologische Studie mit Kurzsequenz-Wiederholungs-Genotypisierung von 106 Pichia-kudriavzevii-Isolaten aus Indien zeigte nosokomialen Transmissionsmustern und einen global verbreiteten Stamm.</w:t>
      </w:r>
    </w:p>
    <w:p>
      <w:r>
        <w:rPr>
          <w:b/>
        </w:rPr>
        <w:t xml:space="preserve">Ergebnis: </w:t>
      </w:r>
      <w:r>
        <w:t>52 unterschiedliche Genotypen plus fünf Cluster (zwei bis 22 Isolate). Ein Multizentrums-Cluster umfasste sechs Krankenhäuser; derselbe Stamm identisch mit iranischen Isolaten und verwandt mit niederländischen und sri-lankischen Isolaten (letzte seit 1935). Fluconazol-Resistenz intrinsisch. Befund deuten auf erhöhtes Transmissionspotenzial und Fitness-Vorteil eines Stamms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Indien; zeigt grenzüberschreitende nosokomiale Transmission, unterstreicht Surveillance-Notwendigkeit auch in Deutschland.</w:t>
      </w:r>
    </w:p>
    <w:p>
      <w:r>
        <w:rPr>
          <w:color w:val="5A7D3A"/>
          <w:sz w:val="18"/>
        </w:rPr>
        <w:t>https://pubmed.ncbi.nlm.nih.gov/42560405/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