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10.09.2026  |  6 Studien  |  safety.m-vf.de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Hospitalisierungsbakterämie als Qualitätsmetrik zeigt bedeutsame Variation zwischen Krankenhäusern</w:t>
      </w:r>
    </w:p>
    <w:p>
      <w:r>
        <w:rPr>
          <w:i/>
          <w:color w:val="666666"/>
          <w:sz w:val="18"/>
        </w:rPr>
        <w:t>Bedard-Lapointe O et al.  ·  JAMA Netw Open  ·  01.09.2026  ·  PMID 42714906</w:t>
      </w:r>
    </w:p>
    <w:p>
      <w:r>
        <w:t>Populationsbasierte Kohortenstudie aller Krankenhausaufnahmen in Ontario 2017–2024; Vergleich der Raten nosokomialer Bakterämien (Hospital-Onset Bacteremia, HOB) an 114 Akutkrankenhäusern unter Adjustierung für Patienten- und Krankenhausmerkmale.</w:t>
      </w:r>
    </w:p>
    <w:p>
      <w:r>
        <w:rPr>
          <w:b/>
        </w:rPr>
        <w:t xml:space="preserve">Ergebnis: </w:t>
      </w:r>
      <w:r>
        <w:t>3.325.900 Aufnahmen, 61.452 HOB-Episoden über 29.721.745 Aufnahmetage, Gesamtrate 2,07 pro 1.000 Aufnahmetage. Über 114 Krankenhäuser deutliche Variation: 10. Perzentil 0,39, 25. Perzentil 0,71, Median 1,08, 75. Perzentil 1,68, 90. Perzentil 2,27 pro 1.000 Aufnahmetage. Random-Intercept für Krankenhäuser SD 0,36 (95%-CI 0,29–0,42), Rate-Ratio 1,43 (95%-CI 1,34–1,52) pro 1 SD. HOB-Rate ein zuverlässiger Qualitätsindikator zur Differenzierung zwischen Kliniken.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öffentliches Gesundheitssystem, Basis für deutsches Qualitätsmonitoring</w:t>
      </w:r>
    </w:p>
    <w:p>
      <w:r>
        <w:rPr>
          <w:color w:val="5A7D3A"/>
          <w:sz w:val="18"/>
        </w:rPr>
        <w:t>https://pubmed.ncbi.nlm.nih.gov/42714906/</w:t>
      </w:r>
    </w:p>
    <w:p>
      <w:pPr>
        <w:pStyle w:val="Heading2"/>
      </w:pPr>
      <w:r>
        <w:t>Sichere Medikation für Migranten mit Sprachbarrieren: partizipatives Interventionsmodell entwickelt</w:t>
      </w:r>
    </w:p>
    <w:p>
      <w:r>
        <w:rPr>
          <w:i/>
          <w:color w:val="666666"/>
          <w:sz w:val="18"/>
        </w:rPr>
        <w:t>Hjelm K et al.  ·  BMC Health Serv Res  ·  07.09.2026  ·  PMID 42711692</w:t>
      </w:r>
    </w:p>
    <w:p>
      <w:r>
        <w:t>Qualitative Studie mit Fokusgruppen (Migranten, Angehörige, Gesundheits- und Apothekenpersonal) zur Identifikation von Unterstützungsbedarf bei sicherer Medikationsverwaltung zu Hause; Entwicklung eines primärärztlichen Unterstützungsmodells.</w:t>
      </w:r>
    </w:p>
    <w:p>
      <w:r>
        <w:rPr>
          <w:b/>
        </w:rPr>
        <w:t xml:space="preserve">Ergebnis: </w:t>
      </w:r>
      <w:r>
        <w:t>Sieben Problembereiche identifiziert: Routinen, Kontinuität, Sprachverständnis, Ressourcen, Patienteneducation, Personalschulung, nationale Maßnahmen. Erforderliche Unterstützung auf allen Ebenen – besonders institutionell und infrastrukturell – sowie in alltäglichen Arzt-Patienten-Interaktionen. Interventionsmodell mit erweitertem interdisziplinärem Team, Angehörigen, Apothekern und erreichbarem Koordinator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übertragbar auf deutsche Migrationspopulation und Mehrsprachigkeit</w:t>
      </w:r>
    </w:p>
    <w:p>
      <w:r>
        <w:rPr>
          <w:color w:val="5A7D3A"/>
          <w:sz w:val="18"/>
        </w:rPr>
        <w:t>https://pubmed.ncbi.nlm.nih.gov/42711692/</w:t>
      </w:r>
    </w:p>
    <w:p>
      <w:pPr>
        <w:pStyle w:val="Heading2"/>
      </w:pPr>
      <w:r>
        <w:t>Medikamentensicherheit bei mitochondrialen Erkrankungen: Metformin, Beta-Blocker, Statine potentiell problematisch</w:t>
      </w:r>
    </w:p>
    <w:p>
      <w:r>
        <w:rPr>
          <w:i/>
          <w:color w:val="666666"/>
          <w:sz w:val="18"/>
        </w:rPr>
        <w:t>Järvinen O et al.  ·  Neurol Sci  ·  06.08.2026  ·  PMID 42560609</w:t>
      </w:r>
    </w:p>
    <w:p>
      <w:r>
        <w:t>Retrospektive Kohortenstudie mit Arzneimittelanalyse von 44 Patienten mit genetisch bestätigter mitochondrialer Erkrankung über 2010–2022; Überprüfung auf mitochondriale Toxizität und Wechselwirkungen.</w:t>
      </w:r>
    </w:p>
    <w:p>
      <w:r>
        <w:rPr>
          <w:b/>
        </w:rPr>
        <w:t xml:space="preserve">Ergebnis: </w:t>
      </w:r>
      <w:r>
        <w:t>~1.000 Medikamenteneinträge überprüft. Häufig verwendete Arzneien mit potentieller mitochondrialer Toxizität identifiziert: Metformin, Beta-Blocker, Statine, Ciprofloxacin, Fluoxetin, Ibuprofen, bestimmte Antiepileptika. Kontraindizierte Medikamente nicht beobachtet; keine Hochrisiko-Wechselwirkungen entdeckt. Klinisch relevant: häufige Analgetika-Nutzung. Schlussfolgerung: Weitere Forschung zu mitochondrialer Sicherheit mehrerer Medikamentenklassen erforderlich; Schmerzmanagement bei mitochondrialen Erkrankungen verdient erhöhte Aufmerksamkeit.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europäische Klinik, Medikamentensicherheit ist universell relevant, übertragbar</w:t>
      </w:r>
    </w:p>
    <w:p>
      <w:r>
        <w:rPr>
          <w:color w:val="5A7D3A"/>
          <w:sz w:val="18"/>
        </w:rPr>
        <w:t>https://pubmed.ncbi.nlm.nih.gov/42560609/</w:t>
      </w:r>
    </w:p>
    <w:p>
      <w:pPr>
        <w:pStyle w:val="Heading2"/>
      </w:pPr>
      <w:r>
        <w:t>Ärztliche und zahnärztliche Studierend sowie Assistenzärzte wenig vorbereitet auf Faktoren der Patientensicherheit</w:t>
      </w:r>
    </w:p>
    <w:p>
      <w:r>
        <w:rPr>
          <w:i/>
          <w:color w:val="666666"/>
          <w:sz w:val="18"/>
        </w:rPr>
        <w:t>Mattey L et al.  ·  Br J Oral Maxillofac Surg  ·  07.03.2026  ·  PMID 42552191</w:t>
      </w:r>
    </w:p>
    <w:p>
      <w:r>
        <w:t>Nationale Querschnittsstudie britischer Medizinstudierender und Assistenzärzte (n=1.274) zu Haltung, Wissen und Erfahrung bezüglich Patientensicherheit, Humanfaktoren und medikolegale Folgen von Fehlern; Vergleich mit Teilnehmern eines maßgeschneiderten Workshops.</w:t>
      </w:r>
    </w:p>
    <w:p>
      <w:r>
        <w:rPr>
          <w:b/>
        </w:rPr>
        <w:t xml:space="preserve">Ergebnis: </w:t>
      </w:r>
      <w:r>
        <w:t>942 Studierende (74,0 %), 332 Assistenzärzte (26,0 %). Häufigste Humanfaktoren: Zeitdruck (57,0 %), Müdigkeit (56,2 %), mangelhafte Übergaben (43,8 %). Bereitschaft zum Umgang mit Humanfaktoren (Median 3/5) und Selbstsicherheit zu Einspruch (Median 3/5) bei Absolventen von Regelschulen signifikant niedriger vs. Privatschule (adjustiertes OR 0,70, 95%-CI 0,57–0,87). 62,2 % fehlte rechtliche Orientierung zu Fehlerfolgen; fast Hälfte wusste nicht, wo Unterstützung zu suchen ist. Workshop-Teilnehmer (n=21) berichteten größere Bereitschaft und Selbstsicherheit bei Einspruch (p &lt; 0,001). Trotz häufigem Kontakt mit Sicherheitsfaktoren nur mäßig vorbereitet und unterstützt.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deutschsprachiges System hat ähnliche Lücken in Ausbildung von Medizinern</w:t>
      </w:r>
    </w:p>
    <w:p>
      <w:r>
        <w:rPr>
          <w:color w:val="5A7D3A"/>
          <w:sz w:val="18"/>
        </w:rPr>
        <w:t>https://pubmed.ncbi.nlm.nih.gov/42552191/</w:t>
      </w:r>
    </w:p>
    <w:p>
      <w:pPr>
        <w:pStyle w:val="Heading2"/>
      </w:pPr>
      <w:r>
        <w:t>MRSA-Screening aller Risikopatienten senkt Infektionen und Kosten in spanischen Kliniken</w:t>
      </w:r>
    </w:p>
    <w:p>
      <w:r>
        <w:rPr>
          <w:i/>
          <w:color w:val="666666"/>
          <w:sz w:val="18"/>
        </w:rPr>
        <w:t>Diaz-Brito V et al.  ·  J Med Econ  ·  16.07.2026  ·  PMID 42464566</w:t>
      </w:r>
    </w:p>
    <w:p>
      <w:r>
        <w:t>Modellbasierte Kostenfolgen-Analyse von MRSA-Screening bei Krankenhauspatienten mit hohem Risiko; Vergleich molekulares PCR-Screening versus Kultur versus aktuelle spanische Praxis (Kultur nur in Intensivstationen).</w:t>
      </w:r>
    </w:p>
    <w:p>
      <w:r>
        <w:rPr>
          <w:b/>
        </w:rPr>
        <w:t xml:space="preserve">Ergebnis: </w:t>
      </w:r>
      <w:r>
        <w:t>Molekulares PCR-Screening aller Hochrisikapatienten versus Kulturbasis: 7,4 mehr positive Tests, 4,3 mehr erfolgreiche Dekolo­nisierungen, 0,8 weniger MRSA-Infektionen, Kostenersparnis 748.971 € (−438,8 €/getesteter Patient). Versus aktuelle Praxis (nur Intensivstation): 113,3 mehr positive Tests, 12,6 weniger Infektionen, 3,4 weniger Todesfälle, Kosteneinsparung 272.118 € (−3.278 €/getesteter Patient). Screening mit PCR war kostensparender trotz höherer Testkosten.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Versicherungssystem mit Deutschland, unmittelbar anwendbar</w:t>
      </w:r>
    </w:p>
    <w:p>
      <w:r>
        <w:rPr>
          <w:color w:val="5A7D3A"/>
          <w:sz w:val="18"/>
        </w:rPr>
        <w:t>https://pubmed.ncbi.nlm.nih.gov/42464566/</w:t>
      </w:r>
    </w:p>
    <w:p>
      <w:pPr>
        <w:pStyle w:val="Heading2"/>
      </w:pPr>
      <w:r>
        <w:t>Serotoninsyndom bei Polypharmaka: Fentanyl und Tramadol als übersehene Risiken</w:t>
      </w:r>
    </w:p>
    <w:p>
      <w:r>
        <w:rPr>
          <w:i/>
          <w:color w:val="666666"/>
          <w:sz w:val="18"/>
        </w:rPr>
        <w:t>Blyzniuk B et al.  ·  Eur J Clin Pharmacol  ·  17.07.2026  ·  PMID 42463509</w:t>
      </w:r>
    </w:p>
    <w:p>
      <w:r>
        <w:t>Systematische Literaturübersicht mit Fallanalyse von 764 publizierten Serotoninsyndom-Fällen in Erwachsenen; Analyse von Medikamentenkombinationen und Outcomes zwischen Suizidversuch und Routinemedikation.</w:t>
      </w:r>
    </w:p>
    <w:p>
      <w:r>
        <w:rPr>
          <w:b/>
        </w:rPr>
        <w:t xml:space="preserve">Ergebnis: </w:t>
      </w:r>
      <w:r>
        <w:t>764 Fälle eingeschlossen; 653 (85,6 %) erfüllten Sternbach-, 496 (65,0 %) Hunter-Kriterien. Suizidvorsätze: 79,4 % Intensivstationen, 18,0 % Mortalität; Routinemedikation: 35,6 % Intensivstation, 5,1 % Mortalität (beide p &lt; 0,001). Von 645 Routinefällen 92,9 % Kombinationstherapie; Monotherapie mild, meist nach Start neuer Antidepressiva bei jüngeren Patienten. Netzwerk-Analyse: Trazodone am häufigsten verbundenes Antidepressivum; Fentanyl und Tramadol als zentrale Nicht-Antidepressiva-Knoten. Fünf Fälle nach Antipsychotika-Absetzen bei beibehaltenen Serotonergika.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deutschsprachig, vergleichbare Polypharmaka-Probleme im europäischen Gesundheitswesen</w:t>
      </w:r>
    </w:p>
    <w:p>
      <w:r>
        <w:rPr>
          <w:color w:val="5A7D3A"/>
          <w:sz w:val="18"/>
        </w:rPr>
        <w:t>https://pubmed.ncbi.nlm.nih.gov/42463509/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