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08.10.2026  |  6 Studien  |  safety.m-vf.de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Dosierungsfehler bei Antibiotika in Brasilien: Watch- und Reserve-Klassen besonders betroffen</w:t>
      </w:r>
    </w:p>
    <w:p>
      <w:r>
        <w:rPr>
          <w:i/>
          <w:color w:val="666666"/>
          <w:sz w:val="18"/>
        </w:rPr>
        <w:t>Sandes V et al.  ·  Pharmacoepidemiol Drug Saf  ·  Okt. 2026  ·  PMID 42841341</w:t>
      </w:r>
    </w:p>
    <w:p>
      <w:r>
        <w:t>Analyse von 2587 Medikationsfehlern mit Antibiotika aus der brasilianischen Pharmacovigilance-Datenbank 2018-2025, klassifiziert nach WHO-AWaRe-Kategorien.</w:t>
      </w:r>
    </w:p>
    <w:p>
      <w:r>
        <w:rPr>
          <w:b/>
        </w:rPr>
        <w:t xml:space="preserve">Ergebnis: </w:t>
      </w:r>
      <w:r>
        <w:t>Dosierungsfehler (Auslassungen, falsche Frequenz) machten 31,7% aller Medikationsfehler aus; Neugeborene, Säuglinge und ältere Erwachsene waren überrepräsentiert (OR 3,90 / 1,78 / 1,70). Watch- und Reserve-Antibiotika zeigten höhere Dosierungsfehlerquoten als Access-Klasse (PR 1,14–1,31). Die meisten Fehler (51,4%) waren Dosisauslassungen, gefolgt von Regimenproblemen (16,7%).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andere Sozialversicherungssysteme; Befund zur Risikogruppe aber universal übertragbar.</w:t>
      </w:r>
    </w:p>
    <w:p>
      <w:r>
        <w:rPr>
          <w:color w:val="5A7D3A"/>
          <w:sz w:val="18"/>
        </w:rPr>
        <w:t>https://pubmed.ncbi.nlm.nih.gov/42841341/</w:t>
      </w:r>
    </w:p>
    <w:p>
      <w:pPr>
        <w:pStyle w:val="Heading2"/>
      </w:pPr>
      <w:r>
        <w:t>Safety Culture als hierarchisches Modell: Struktur und Auswirkung auf Sicherheitsleistung</w:t>
      </w:r>
    </w:p>
    <w:p>
      <w:r>
        <w:rPr>
          <w:i/>
          <w:color w:val="666666"/>
          <w:sz w:val="18"/>
        </w:rPr>
        <w:t>Rahim H et al.  ·  Int Arch Occup Environ Health  ·  06.10.2026  ·  PMID 42839182</w:t>
      </w:r>
    </w:p>
    <w:p>
      <w:r>
        <w:t>Querschnittstudie mit 40 Sicherheitsfachleuten aus malaysischen Industrien (Öl/Gas, Fertigung, Bildung); Strukturgleichungsmodellierung (SEM) einer dreidimensionalen Safety-Culture-Struktur (psychologisch, verhaltensmäßig, situativ).</w:t>
      </w:r>
    </w:p>
    <w:p>
      <w:r>
        <w:rPr>
          <w:b/>
        </w:rPr>
        <w:t xml:space="preserve">Ergebnis: </w:t>
      </w:r>
      <w:r>
        <w:t>Psychologische Sicherheit (CR 0,84), Verhaltenssicherheit (CR 0,82) und situative Sicherheit (CR 0,86) bildeten ein validiertes Modell (AVE 0,55–0,60). Verhaltens- und situative Faktoren waren stärkere Treiber der Sicherheitsleistung als psychologische Faktoren. Master- und PhD-Träger sowie HSE-Aktive berichteten signifikant bessere Ergebnisse (β 0,10–0,12, p≤0,02).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kulturelle/regulatorische Unterschiede; Struktur-Konzept der Safety Culture aber international anwendbar.</w:t>
      </w:r>
    </w:p>
    <w:p>
      <w:r>
        <w:rPr>
          <w:color w:val="5A7D3A"/>
          <w:sz w:val="18"/>
        </w:rPr>
        <w:t>https://pubmed.ncbi.nlm.nih.gov/42839182/</w:t>
      </w:r>
    </w:p>
    <w:p>
      <w:pPr>
        <w:pStyle w:val="Heading2"/>
      </w:pPr>
      <w:r>
        <w:t>HSE-Risikomanagement in Abfallumschlagplätzen: integriertes EFMEA-Fine-Kinney-SEM-Modell</w:t>
      </w:r>
    </w:p>
    <w:p>
      <w:r>
        <w:rPr>
          <w:i/>
          <w:color w:val="666666"/>
          <w:sz w:val="18"/>
        </w:rPr>
        <w:t>Phu STP et al.  ·  Int Arch Occup Environ Health  ·  06.10.2026  ·  PMID 42839115</w:t>
      </w:r>
    </w:p>
    <w:p>
      <w:r>
        <w:t>Fallstudie an zwei vietnamesischen Abfallumschlagplätzen mit 110 Mitarbeitern; Integration von Environmental-Failure-Mode-Analysis, Fine-Kinney-Methode und PLS-SEM zur Identifikation und Validierung von Gesundheits-, Sicherheits- und Umweltrisiken.</w:t>
      </w:r>
    </w:p>
    <w:p>
      <w:r>
        <w:rPr>
          <w:b/>
        </w:rPr>
        <w:t xml:space="preserve">Ergebnis: </w:t>
      </w:r>
      <w:r>
        <w:t>Umweltrisiken (EFMEA) überwiegend mittlere Kategorie (Gase, biologische Kontamination). Sicherheitsrisiken (Fine-Kinney) niedrig durch Training. Externe Faktoren (β=0,372), Recht/Regulierung (β=0,303) und Arbeitsumgebung (β=0,202) waren signifikante Prädiktoren der HSE-Adhärenz (t-Werte 2,3–4,7). Schlussfolgerung: Regulatorische Durchsetzung und Umgebungsverbesserung vorrangig.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Vietnam, Entwicklungskontext; Framework aber für deutsche Abfallwirtschaft und Arbeitssicherheit adaptierbar.</w:t>
      </w:r>
    </w:p>
    <w:p>
      <w:r>
        <w:rPr>
          <w:color w:val="5A7D3A"/>
          <w:sz w:val="18"/>
        </w:rPr>
        <w:t>https://pubmed.ncbi.nlm.nih.gov/42839115/</w:t>
      </w:r>
    </w:p>
    <w:p>
      <w:pPr>
        <w:pStyle w:val="Heading2"/>
      </w:pPr>
      <w:r>
        <w:t>Automatische Endoskop-Aufbereitung: Vergleich von Desinfektionsverfahren in Routineklinik</w:t>
      </w:r>
    </w:p>
    <w:p>
      <w:r>
        <w:rPr>
          <w:i/>
          <w:color w:val="666666"/>
          <w:sz w:val="18"/>
        </w:rPr>
        <w:t>Kato M et al.  ·  PLoS One  ·  06.10.2026  ·  PMID 42837331</w:t>
      </w:r>
    </w:p>
    <w:p>
      <w:r>
        <w:t>Prospektive randomisierte Surveillance von 222 Endoskop-Einsätzen mit drei Aufbereitungsmethoden (stark sauer elektrolysiertes Wasser, Ozondwasser, Peressigsäure) unter Routinebedingungen an 74 Episoden je Verfahren.</w:t>
      </w:r>
    </w:p>
    <w:p>
      <w:r>
        <w:rPr>
          <w:b/>
        </w:rPr>
        <w:t xml:space="preserve">Ergebnis: </w:t>
      </w:r>
      <w:r>
        <w:t>Hygienesucces (≤20 KBE/Probe, keine Leitkeime): 90,5% (stark sauer elektrolysiert), 95,9% (Ozon), 95,9% (Peressigsäure). Risikodifferenzen gegenüber Peressigsäure: −5,4 Prozentpunkte (stark sauer) und 0,0 Prozentpunkte (Ozon). Post-hoc-Nicht-Unterlegenheit mit −10-Prozentpunkt-Marge nur für Ozon gestützt.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Routinepraxis; universelles Problem der Endoskophygiene in vergleichbaren Gesundheitssystemen.</w:t>
      </w:r>
    </w:p>
    <w:p>
      <w:r>
        <w:rPr>
          <w:color w:val="5A7D3A"/>
          <w:sz w:val="18"/>
        </w:rPr>
        <w:t>https://pubmed.ncbi.nlm.nih.gov/42837331/</w:t>
      </w:r>
    </w:p>
    <w:p>
      <w:pPr>
        <w:pStyle w:val="Heading2"/>
      </w:pPr>
      <w:r>
        <w:t>Katheter-assoziierte Harnwegsinfektionen: 20-Jahres-Trend bei Präventionspraktiken in US-Kliniken</w:t>
      </w:r>
    </w:p>
    <w:p>
      <w:r>
        <w:rPr>
          <w:i/>
          <w:color w:val="666666"/>
          <w:sz w:val="18"/>
        </w:rPr>
        <w:t>Saint S et al.  ·  JAMA Netw Open  ·  01.10.2026  ·  PMID 42837154</w:t>
      </w:r>
    </w:p>
    <w:p>
      <w:r>
        <w:t>Wiederholte Querschnittsbefragungen von VA- und nichtfödalen US-Krankenhäusern (2005–2025) zur Adoption von CAUTI-Präventionsmaßnahmen.</w:t>
      </w:r>
    </w:p>
    <w:p>
      <w:r>
        <w:rPr>
          <w:b/>
        </w:rPr>
        <w:t xml:space="preserve">Ergebnis: </w:t>
      </w:r>
      <w:r>
        <w:t>Katheter-Reminder/Stop-Order stiegen in nichtfödalen Kliniken von 9,1% (2005) auf 48,7% (2025); Nurse-initiated-Diskontinuation von 11,3% (2009) auf 58,3% (2025). CAUTI-Überwachungssysteme nahezu universal (98,1–98,7%). VA-Kliniken zeigten langsamere Adoption. Externe Katheter stiegen deutlich, Silber-Foleys sanken markant.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unterschiedliche Finanzierung; Implementierungsprozesse und Adoptionsmuster aber instruktiv für Qualitätssteigerung.</w:t>
      </w:r>
    </w:p>
    <w:p>
      <w:r>
        <w:rPr>
          <w:color w:val="5A7D3A"/>
          <w:sz w:val="18"/>
        </w:rPr>
        <w:t>https://pubmed.ncbi.nlm.nih.gov/42837154/</w:t>
      </w:r>
    </w:p>
    <w:p>
      <w:pPr>
        <w:pStyle w:val="Heading2"/>
      </w:pPr>
      <w:r>
        <w:t>H3.1-Nukleosome als Biomarker für Nierenersatztherapie und Mortalität bei Sepsis</w:t>
      </w:r>
    </w:p>
    <w:p>
      <w:r>
        <w:rPr>
          <w:i/>
          <w:color w:val="666666"/>
          <w:sz w:val="18"/>
        </w:rPr>
        <w:t>Neumann C et al.  ·  Crit Care Med  ·  01.10.2026  ·  PMID 42545097</w:t>
      </w:r>
    </w:p>
    <w:p>
      <w:r>
        <w:t>Sekundäranalyse der SISPCT-Studie (971 Sepsis-Patienten, 33 deutsche ICUs 2009–2013) zu H3.1-Nukleosomen bei Aufnahme als Prädiktoren für RRT-Bedarf und 28-Tage-Mortalität.</w:t>
      </w:r>
    </w:p>
    <w:p>
      <w:r>
        <w:rPr>
          <w:b/>
        </w:rPr>
        <w:t xml:space="preserve">Ergebnis: </w:t>
      </w:r>
      <w:r>
        <w:t>H3.1-Level waren bei septischem Schock höher als bei Sepsis (921,84 vs. 432,71 ng/mL, p&lt;0,001). Ein log₁₀-Anstieg erhöhte 28-Tage-Mortalität um 48% (adj. HR 1,48; 95%-KI 1,07–2,04; p=0,02) und RRT-Risiko um 80% (adj. HR 1,8; 95%-KI 1,34–2,40; p&lt;0,001). Die Assoziation blieb nach Kontrolle für Laktat, Procalcitonin und CRP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Intensivdaten; biomarkergestütztes Risikomodell unmittelbar übertragbar.</w:t>
      </w:r>
    </w:p>
    <w:p>
      <w:r>
        <w:rPr>
          <w:color w:val="5A7D3A"/>
          <w:sz w:val="18"/>
        </w:rPr>
        <w:t>https://pubmed.ncbi.nlm.nih.gov/42545097/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