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01.10.2026  |  6 Studien  |  safety.m-vf.de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Defensive Medizin bei Geburtshelferinnen und Frauenärztinnen: Arbeitsunzufriedenheit steigert Schutzverhalten stark</w:t>
      </w:r>
    </w:p>
    <w:p>
      <w:r>
        <w:rPr>
          <w:i/>
          <w:color w:val="666666"/>
          <w:sz w:val="18"/>
        </w:rPr>
        <w:t>Cenger CD et al.  ·  JMIR Form Res  ·  30.09.2026  ·  PMID 42814963</w:t>
      </w:r>
    </w:p>
    <w:p>
      <w:r>
        <w:t>Cross-sectional-Studie (n=1069) unter Fachleuten in Geburtsmedizin in Istanbul; multivariable lineare Regressionsmodelle zur Identifikation unabhängig assoziierter Faktoren.</w:t>
      </w:r>
    </w:p>
    <w:p>
      <w:r>
        <w:rPr>
          <w:b/>
        </w:rPr>
        <w:t xml:space="preserve">Ergebnis: </w:t>
      </w:r>
      <w:r>
        <w:t>Mittlerer TDMPAS-Score 48,12 (SD 10,59). Unzufriedenheit mit Arbeitsbedingungen war unabhängig mit höheren defensive-medicine-Scores assoziiert (B=6,62; 95%-KI 4,19–9,05; p&lt;0,001), ebenso frühere Verwaltungsuntersuchungen (B=3,44; 95%-KI 1,37–5,50; p=0,001). Haftungsschulung (B=-2,18; p=0,002) und höhere Berufserfahrung (B=-0,15 pro Jahr; p=0,03) waren protektiv. Modell erklärte 17,6 % der Varianz.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Haftungsklima analog zu DACH, Defensive Medicine ähnlich häufig</w:t>
      </w:r>
    </w:p>
    <w:p>
      <w:r>
        <w:rPr>
          <w:color w:val="5A7D3A"/>
          <w:sz w:val="18"/>
        </w:rPr>
        <w:t>https://pubmed.ncbi.nlm.nih.gov/42814963/</w:t>
      </w:r>
    </w:p>
    <w:p>
      <w:pPr>
        <w:pStyle w:val="Heading2"/>
      </w:pPr>
      <w:r>
        <w:t>Druckgeschwüre als Zwischenfälle: 24 % aller gemeldeten unerwünschten Ereignisse in Spezialkrankenhaus</w:t>
      </w:r>
    </w:p>
    <w:p>
      <w:r>
        <w:rPr>
          <w:i/>
          <w:color w:val="666666"/>
          <w:sz w:val="18"/>
        </w:rPr>
        <w:t>Sowińska IM et al.  ·  PLoS One  ·  30.09.2026  ·  PMID 42814750</w:t>
      </w:r>
    </w:p>
    <w:p>
      <w:r>
        <w:t>Retrospektive Analyse von 1272 gemeldeten unerwünschten Ereignissen (2013–2020) in einem polnischen Spezialkrankenhaus; 305 davon (24 %) waren erworbene Druckgeschwüre.</w:t>
      </w:r>
    </w:p>
    <w:p>
      <w:r>
        <w:rPr>
          <w:b/>
        </w:rPr>
        <w:t xml:space="preserve">Ergebnis: </w:t>
      </w:r>
      <w:r>
        <w:t>Patienten mit Druckgeschwüren hatten signifikant längere Krankenhausaufenthalte (18,64 vs. 12,62 Tage; p &lt; 0,001) und mehr verordnete Medikamente (18,14 vs. 10,43; p &lt; 0,001). Im multivariaten Modell waren höheres Alter, prolongierte Hospitalisierung, höhere Medikamentenzahl und größere Komorbiditätslast unabhängig mit Druckgeschwüren assoziiert. Systematische Überwachung könnte Hochrisikopatienten identifizieren.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vergleichbare Meldepflichten für unerwünschte Ereignisse</w:t>
      </w:r>
    </w:p>
    <w:p>
      <w:r>
        <w:rPr>
          <w:color w:val="5A7D3A"/>
          <w:sz w:val="18"/>
        </w:rPr>
        <w:t>https://pubmed.ncbi.nlm.nih.gov/42814750/</w:t>
      </w:r>
    </w:p>
    <w:p>
      <w:pPr>
        <w:pStyle w:val="Heading2"/>
      </w:pPr>
      <w:r>
        <w:t>Verzögerte Notfall-Kaiserschnitte und Fehldiagnosen führten 2025 zu häufigsten Arztfehlerurteilen in Malaysia</w:t>
      </w:r>
    </w:p>
    <w:p>
      <w:r>
        <w:rPr>
          <w:i/>
          <w:color w:val="666666"/>
          <w:sz w:val="18"/>
        </w:rPr>
        <w:t>Zainal Abidin H et al.  ·  Med J Malaysia  ·  Sept. 2026  ·  PMID 42813486</w:t>
      </w:r>
    </w:p>
    <w:p>
      <w:r>
        <w:t>Retrospektive Fallanalyse von 29 Haftungsfällen aus 2025 mit strukturiertem dreistufigem Kodierungsrahmen zur Erfassung von Rechenschaftspflicht und klinischer Governance.</w:t>
      </w:r>
    </w:p>
    <w:p>
      <w:r>
        <w:rPr>
          <w:b/>
        </w:rPr>
        <w:t xml:space="preserve">Ergebnis: </w:t>
      </w:r>
      <w:r>
        <w:t>22 Fälle in High Court, überwiegend öffentliche Krankenhäuser; Orthopädie (n=10), Geburtsmedizin (n=8), andere Chirurgie (n=6). Haftungsauslöser: zeitkritische Verzögerungen (Notfall-Kaiserschnitt, Gefäßbehandlung), Diagnostikversäumnisse (radiologische Untersuchungen, Sepsisverschleppung), unzureichende informed consent, unvollständige Dokumentation. Klinische Hosps wurden für Systemversäumnisse haftbar gemacht (non-delegable duty); Dokumentationsmängel galten als schwerwiegende Aggravation.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Malaysia, Verschuldenshaftung wie Deutschland, wachsende Systemverantwortlichkeit</w:t>
      </w:r>
    </w:p>
    <w:p>
      <w:r>
        <w:rPr>
          <w:color w:val="5A7D3A"/>
          <w:sz w:val="18"/>
        </w:rPr>
        <w:t>https://pubmed.ncbi.nlm.nih.gov/42813486/</w:t>
      </w:r>
    </w:p>
    <w:p>
      <w:pPr>
        <w:pStyle w:val="Heading2"/>
      </w:pPr>
      <w:r>
        <w:t>Procalcitonin erkannt pädiatrische Sepsis mit mäßiger Genauigkeit – nutzbarer Zusatzmarker</w:t>
      </w:r>
    </w:p>
    <w:p>
      <w:r>
        <w:rPr>
          <w:i/>
          <w:color w:val="666666"/>
          <w:sz w:val="18"/>
        </w:rPr>
        <w:t>Razak SMA et al.  ·  Med J Malaysia  ·  Sept. 2026  ·  PMID 42813484</w:t>
      </w:r>
    </w:p>
    <w:p>
      <w:r>
        <w:t>Retrospektive Studie in malaysischer Tertiärklinik (Juni 2022–Juni 2024); 242 Kinder mit PCT-Test; ROC-Analyse und diagnostische Genauigkeit bei 0,5 ng/mL Cutoff.</w:t>
      </w:r>
    </w:p>
    <w:p>
      <w:r>
        <w:rPr>
          <w:b/>
        </w:rPr>
        <w:t xml:space="preserve">Ergebnis: </w:t>
      </w:r>
      <w:r>
        <w:t>129 (53,3 %) Sepsis-Fälle. Mittlere PCT-Werte höher bei Sepsis (1,940 vs. 0,240 ng/mL; p&lt;0,0001). Bei Cutoff 0,5 ng/mL: Sensitivität 76 %, Spezifität 73,5 %, PPV 76,6 %, NPV 72,8 %, PLR 2,86, NLR 0,33, Diagn. OR 8,75. ROC AUC 0,747 (95%-KI 0,692–0,802). PCT moderat positiv korreliert mit CRP (r=0,546), nicht mit Leukozytenzahl.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Malaysia, pädiatrische Bevölkerung, PCT als klinisches Adjuvans übertragbar</w:t>
      </w:r>
    </w:p>
    <w:p>
      <w:r>
        <w:rPr>
          <w:color w:val="5A7D3A"/>
          <w:sz w:val="18"/>
        </w:rPr>
        <w:t>https://pubmed.ncbi.nlm.nih.gov/42813484/</w:t>
      </w:r>
    </w:p>
    <w:p>
      <w:pPr>
        <w:pStyle w:val="Heading2"/>
      </w:pPr>
      <w:r>
        <w:t>Magnesiummangel erhöht nosokomiale Spontanperitonitis und Sepsis bei Zirrhose</w:t>
      </w:r>
    </w:p>
    <w:p>
      <w:r>
        <w:rPr>
          <w:i/>
          <w:color w:val="666666"/>
          <w:sz w:val="18"/>
        </w:rPr>
        <w:t>Duan XJ et al.  ·  Front Immunol  ·  15.09.2026  ·  PMID 42812346</w:t>
      </w:r>
    </w:p>
    <w:p>
      <w:r>
        <w:t>Retrospektive Kohortenstudie (n=1110) von Zirrhosepatienten (Mai 2021–Juni 2025) mit Magnesiumspiegeln innerhalb 48 h nach Aufnahme; multivariable Regression und restricted cubic spline-Analyse.</w:t>
      </w:r>
    </w:p>
    <w:p>
      <w:r>
        <w:rPr>
          <w:b/>
        </w:rPr>
        <w:t xml:space="preserve">Ergebnis: </w:t>
      </w:r>
      <w:r>
        <w:t>HA-SBP-Inzidenz 12,25 %, Sepsis 6,06 %. Pro 1-SD Magnesiumeröhung sanken HA-SBP-Risiko um 20,8 % (OR=0,792; 95%-KI 0,642–0,970; p=0,026) und Sepsisrisiko um 35,5 % (OR=0,645; 95%-KI 0,464–0,883; p=0,008). Hypomagnesämie vs. Normomagnesämie: OR für HA-SBP 1,520 (p=0,044), für Sepsis 2,213 (p=0,013). Lineare inverse Beziehung in RCS-Analyse (beide p&gt;0,05). AUC für HA-SBP 0,635, für Sepsis 0,688.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Sepsisrisikofaktor mit messbarem Effekt, Interventionspotenzial</w:t>
      </w:r>
    </w:p>
    <w:p>
      <w:r>
        <w:rPr>
          <w:color w:val="5A7D3A"/>
          <w:sz w:val="18"/>
        </w:rPr>
        <w:t>https://pubmed.ncbi.nlm.nih.gov/42812346/</w:t>
      </w:r>
    </w:p>
    <w:p>
      <w:pPr>
        <w:pStyle w:val="Heading2"/>
      </w:pPr>
      <w:r>
        <w:t>Zinkmangelassoziiert mit höherer Sepsismortalität – Frühaufgriff ermöglicht Intervention</w:t>
      </w:r>
    </w:p>
    <w:p>
      <w:r>
        <w:rPr>
          <w:i/>
          <w:color w:val="666666"/>
          <w:sz w:val="18"/>
        </w:rPr>
        <w:t>Tuan NV et al.  ·  Int J Infect Dis  ·  25.08.2026  ·  PMID 42641939</w:t>
      </w:r>
    </w:p>
    <w:p>
      <w:r>
        <w:t>Prospektive Kohortenstudie (n=120) zu Zinkspiegeln bei Sepsispatienten zwischen Aufnahme und Tag 3; Analysen mit gemischtem Modell und Cox-Regression.</w:t>
      </w:r>
    </w:p>
    <w:p>
      <w:r>
        <w:rPr>
          <w:b/>
        </w:rPr>
        <w:t xml:space="preserve">Ergebnis: </w:t>
      </w:r>
      <w:r>
        <w:t>Patienten, die bis Tag 7 starben, zeigten keine unterschiedlichen Ausgangszinkwerte, aber niedrigere Zinkwerte am Tag 3 (56,05 vs. 68,65 µg/dL; p=0,081) und geringere Zinkzunahme vom Aufnahme- bis Tag 3 (0,80 vs. 15,40 µg/dL; p=0,017). Höhere Zinkwerte am Tag 3 waren mit niedrigerer Mortalität assoziiert (HR pro 10 µg/dL 0,77; 95%-KI 0,60–0,97; p=0,028). Versatz der Zinktrajektor zeichnete signifikant unterschiedliche Kurven nach Ausgang (Interaktion p=0,0022).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 mit deutschem Partnerzentrum, messbarer Frühmarker für Sepsisrisiko</w:t>
      </w:r>
    </w:p>
    <w:p>
      <w:r>
        <w:rPr>
          <w:color w:val="5A7D3A"/>
          <w:sz w:val="18"/>
        </w:rPr>
        <w:t>https://pubmed.ncbi.nlm.nih.gov/42641939/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