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01.10.2026  |  234 Studien  |  safety.m-vf.de</w:t>
      </w:r>
    </w:p>
    <w:p>
      <w:pPr>
        <w:pStyle w:val="Heading1"/>
      </w:pPr>
      <w:r>
        <w:t>Aufgenommen am 01.10.2026</w:t>
      </w:r>
    </w:p>
    <w:p>
      <w:pPr>
        <w:pStyle w:val="Heading2"/>
      </w:pPr>
      <w:r>
        <w:t>Defensive Medizin bei Geburtshelferinnen und Frauenärztinnen: Arbeitsunzufriedenheit steigert Schutzverhalten stark</w:t>
      </w:r>
    </w:p>
    <w:p>
      <w:r>
        <w:rPr>
          <w:i/>
          <w:color w:val="666666"/>
          <w:sz w:val="18"/>
        </w:rPr>
        <w:t>Cenger CD et al.  ·  JMIR Form Res  ·  30.09.2026  ·  PMID 42814963</w:t>
      </w:r>
    </w:p>
    <w:p>
      <w:r>
        <w:t>Cross-sectional-Studie (n=1069) unter Fachleuten in Geburtsmedizin in Istanbul; multivariable lineare Regressionsmodelle zur Identifikation unabhängig assoziierter Faktoren.</w:t>
      </w:r>
    </w:p>
    <w:p>
      <w:r>
        <w:rPr>
          <w:b/>
        </w:rPr>
        <w:t xml:space="preserve">Ergebnis: </w:t>
      </w:r>
      <w:r>
        <w:t>Mittlerer TDMPAS-Score 48,12 (SD 10,59). Unzufriedenheit mit Arbeitsbedingungen war unabhängig mit höheren defensive-medicine-Scores assoziiert (B=6,62; 95%-KI 4,19–9,05; p&lt;0,001), ebenso frühere Verwaltungsuntersuchungen (B=3,44; 95%-KI 1,37–5,50; p=0,001). Haftungsschulung (B=-2,18; p=0,002) und höhere Berufserfahrung (B=-0,15 pro Jahr; p=0,03) waren protektiv. Modell erklärte 17,6 % der Varianz.</w:t>
      </w:r>
    </w:p>
    <w:p>
      <w:r>
        <w:rPr>
          <w:b/>
          <w:sz w:val="19"/>
        </w:rPr>
        <w:t xml:space="preserve">Übertragbarkeit: </w:t>
      </w:r>
      <w:r>
        <w:rPr>
          <w:sz w:val="19"/>
        </w:rPr>
        <w:t>Türkei, Haftungsklima analog zu DACH, Defensive Medicine ähnlich häufig</w:t>
      </w:r>
    </w:p>
    <w:p>
      <w:r>
        <w:rPr>
          <w:color w:val="5A7D3A"/>
          <w:sz w:val="18"/>
        </w:rPr>
        <w:t>https://pubmed.ncbi.nlm.nih.gov/42814963/</w:t>
      </w:r>
    </w:p>
    <w:p>
      <w:pPr>
        <w:pStyle w:val="Heading2"/>
      </w:pPr>
      <w:r>
        <w:t>Druckgeschwüre als Zwischenfälle: 24 % aller gemeldeten unerwünschten Ereignisse in Spezialkrankenhaus</w:t>
      </w:r>
    </w:p>
    <w:p>
      <w:r>
        <w:rPr>
          <w:i/>
          <w:color w:val="666666"/>
          <w:sz w:val="18"/>
        </w:rPr>
        <w:t>Sowińska IM et al.  ·  PLoS One  ·  30.09.2026  ·  PMID 42814750</w:t>
      </w:r>
    </w:p>
    <w:p>
      <w:r>
        <w:t>Retrospektive Analyse von 1272 gemeldeten unerwünschten Ereignissen (2013–2020) in einem polnischen Spezialkrankenhaus; 305 davon (24 %) waren erworbene Druckgeschwüre.</w:t>
      </w:r>
    </w:p>
    <w:p>
      <w:r>
        <w:rPr>
          <w:b/>
        </w:rPr>
        <w:t xml:space="preserve">Ergebnis: </w:t>
      </w:r>
      <w:r>
        <w:t>Patienten mit Druckgeschwüren hatten signifikant längere Krankenhausaufenthalte (18,64 vs. 12,62 Tage; p &lt; 0,001) und mehr verordnete Medikamente (18,14 vs. 10,43; p &lt; 0,001). Im multivariaten Modell waren höheres Alter, prolongierte Hospitalisierung, höhere Medikamentenzahl und größere Komorbiditätslast unabhängig mit Druckgeschwüren assoziiert. Systematische Überwachung könnte Hochrisikopatienten identifizieren.</w:t>
      </w:r>
    </w:p>
    <w:p>
      <w:r>
        <w:rPr>
          <w:b/>
          <w:sz w:val="19"/>
        </w:rPr>
        <w:t xml:space="preserve">Übertragbarkeit: </w:t>
      </w:r>
      <w:r>
        <w:rPr>
          <w:sz w:val="19"/>
        </w:rPr>
        <w:t>Polen, vergleichbare Meldepflichten für unerwünschte Ereignisse</w:t>
      </w:r>
    </w:p>
    <w:p>
      <w:r>
        <w:rPr>
          <w:color w:val="5A7D3A"/>
          <w:sz w:val="18"/>
        </w:rPr>
        <w:t>https://pubmed.ncbi.nlm.nih.gov/42814750/</w:t>
      </w:r>
    </w:p>
    <w:p>
      <w:pPr>
        <w:pStyle w:val="Heading2"/>
      </w:pPr>
      <w:r>
        <w:t>Verzögerte Notfall-Kaiserschnitte und Fehldiagnosen führten 2025 zu häufigsten Arztfehlerurteilen in Malaysia</w:t>
      </w:r>
    </w:p>
    <w:p>
      <w:r>
        <w:rPr>
          <w:i/>
          <w:color w:val="666666"/>
          <w:sz w:val="18"/>
        </w:rPr>
        <w:t>Zainal Abidin H et al.  ·  Med J Malaysia  ·  Sept. 2026  ·  PMID 42813486</w:t>
      </w:r>
    </w:p>
    <w:p>
      <w:r>
        <w:t>Retrospektive Fallanalyse von 29 Haftungsfällen aus 2025 mit strukturiertem dreistufigem Kodierungsrahmen zur Erfassung von Rechenschaftspflicht und klinischer Governance.</w:t>
      </w:r>
    </w:p>
    <w:p>
      <w:r>
        <w:rPr>
          <w:b/>
        </w:rPr>
        <w:t xml:space="preserve">Ergebnis: </w:t>
      </w:r>
      <w:r>
        <w:t>22 Fälle in High Court, überwiegend öffentliche Krankenhäuser; Orthopädie (n=10), Geburtsmedizin (n=8), andere Chirurgie (n=6). Haftungsauslöser: zeitkritische Verzögerungen (Notfall-Kaiserschnitt, Gefäßbehandlung), Diagnostikversäumnisse (radiologische Untersuchungen, Sepsisverschleppung), unzureichende informed consent, unvollständige Dokumentation. Klinische Hosps wurden für Systemversäumnisse haftbar gemacht (non-delegable duty); Dokumentationsmängel galten als schwerwiegende Aggravation.</w:t>
      </w:r>
    </w:p>
    <w:p>
      <w:r>
        <w:rPr>
          <w:b/>
          <w:sz w:val="19"/>
        </w:rPr>
        <w:t xml:space="preserve">Übertragbarkeit: </w:t>
      </w:r>
      <w:r>
        <w:rPr>
          <w:sz w:val="19"/>
        </w:rPr>
        <w:t>Malaysia, Verschuldenshaftung wie Deutschland, wachsende Systemverantwortlichkeit</w:t>
      </w:r>
    </w:p>
    <w:p>
      <w:r>
        <w:rPr>
          <w:color w:val="5A7D3A"/>
          <w:sz w:val="18"/>
        </w:rPr>
        <w:t>https://pubmed.ncbi.nlm.nih.gov/42813486/</w:t>
      </w:r>
    </w:p>
    <w:p>
      <w:pPr>
        <w:pStyle w:val="Heading2"/>
      </w:pPr>
      <w:r>
        <w:t>Procalcitonin erkannt pädiatrische Sepsis mit mäßiger Genauigkeit – nutzbarer Zusatzmarker</w:t>
      </w:r>
    </w:p>
    <w:p>
      <w:r>
        <w:rPr>
          <w:i/>
          <w:color w:val="666666"/>
          <w:sz w:val="18"/>
        </w:rPr>
        <w:t>Razak SMA et al.  ·  Med J Malaysia  ·  Sept. 2026  ·  PMID 42813484</w:t>
      </w:r>
    </w:p>
    <w:p>
      <w:r>
        <w:t>Retrospektive Studie in malaysischer Tertiärklinik (Juni 2022–Juni 2024); 242 Kinder mit PCT-Test; ROC-Analyse und diagnostische Genauigkeit bei 0,5 ng/mL Cutoff.</w:t>
      </w:r>
    </w:p>
    <w:p>
      <w:r>
        <w:rPr>
          <w:b/>
        </w:rPr>
        <w:t xml:space="preserve">Ergebnis: </w:t>
      </w:r>
      <w:r>
        <w:t>129 (53,3 %) Sepsis-Fälle. Mittlere PCT-Werte höher bei Sepsis (1,940 vs. 0,240 ng/mL; p&lt;0,0001). Bei Cutoff 0,5 ng/mL: Sensitivität 76 %, Spezifität 73,5 %, PPV 76,6 %, NPV 72,8 %, PLR 2,86, NLR 0,33, Diagn. OR 8,75. ROC AUC 0,747 (95%-KI 0,692–0,802). PCT moderat positiv korreliert mit CRP (r=0,546), nicht mit Leukozytenzahl.</w:t>
      </w:r>
    </w:p>
    <w:p>
      <w:r>
        <w:rPr>
          <w:b/>
          <w:sz w:val="19"/>
        </w:rPr>
        <w:t xml:space="preserve">Übertragbarkeit: </w:t>
      </w:r>
      <w:r>
        <w:rPr>
          <w:sz w:val="19"/>
        </w:rPr>
        <w:t>Malaysia, pädiatrische Bevölkerung, PCT als klinisches Adjuvans übertragbar</w:t>
      </w:r>
    </w:p>
    <w:p>
      <w:r>
        <w:rPr>
          <w:color w:val="5A7D3A"/>
          <w:sz w:val="18"/>
        </w:rPr>
        <w:t>https://pubmed.ncbi.nlm.nih.gov/42813484/</w:t>
      </w:r>
    </w:p>
    <w:p>
      <w:pPr>
        <w:pStyle w:val="Heading2"/>
      </w:pPr>
      <w:r>
        <w:t>Magnesiummangel erhöht nosokomiale Spontanperitonitis und Sepsis bei Zirrhose</w:t>
      </w:r>
    </w:p>
    <w:p>
      <w:r>
        <w:rPr>
          <w:i/>
          <w:color w:val="666666"/>
          <w:sz w:val="18"/>
        </w:rPr>
        <w:t>Duan XJ et al.  ·  Front Immunol  ·  15.09.2026  ·  PMID 42812346</w:t>
      </w:r>
    </w:p>
    <w:p>
      <w:r>
        <w:t>Retrospektive Kohortenstudie (n=1110) von Zirrhosepatienten (Mai 2021–Juni 2025) mit Magnesiumspiegeln innerhalb 48 h nach Aufnahme; multivariable Regression und restricted cubic spline-Analyse.</w:t>
      </w:r>
    </w:p>
    <w:p>
      <w:r>
        <w:rPr>
          <w:b/>
        </w:rPr>
        <w:t xml:space="preserve">Ergebnis: </w:t>
      </w:r>
      <w:r>
        <w:t>HA-SBP-Inzidenz 12,25 %, Sepsis 6,06 %. Pro 1-SD Magnesiumeröhung sanken HA-SBP-Risiko um 20,8 % (OR=0,792; 95%-KI 0,642–0,970; p=0,026) und Sepsisrisiko um 35,5 % (OR=0,645; 95%-KI 0,464–0,883; p=0,008). Hypomagnesämie vs. Normomagnesämie: OR für HA-SBP 1,520 (p=0,044), für Sepsis 2,213 (p=0,013). Lineare inverse Beziehung in RCS-Analyse (beide p&gt;0,05). AUC für HA-SBP 0,635, für Sepsis 0,688.</w:t>
      </w:r>
    </w:p>
    <w:p>
      <w:r>
        <w:rPr>
          <w:b/>
          <w:sz w:val="19"/>
        </w:rPr>
        <w:t xml:space="preserve">Übertragbarkeit: </w:t>
      </w:r>
      <w:r>
        <w:rPr>
          <w:sz w:val="19"/>
        </w:rPr>
        <w:t>China, Sepsisrisikofaktor mit messbarem Effekt, Interventionspotenzial</w:t>
      </w:r>
    </w:p>
    <w:p>
      <w:r>
        <w:rPr>
          <w:color w:val="5A7D3A"/>
          <w:sz w:val="18"/>
        </w:rPr>
        <w:t>https://pubmed.ncbi.nlm.nih.gov/42812346/</w:t>
      </w:r>
    </w:p>
    <w:p>
      <w:pPr>
        <w:pStyle w:val="Heading2"/>
      </w:pPr>
      <w:r>
        <w:t>Zinkmangelassoziiert mit höherer Sepsismortalität – Frühaufgriff ermöglicht Intervention</w:t>
      </w:r>
    </w:p>
    <w:p>
      <w:r>
        <w:rPr>
          <w:i/>
          <w:color w:val="666666"/>
          <w:sz w:val="18"/>
        </w:rPr>
        <w:t>Tuan NV et al.  ·  Int J Infect Dis  ·  25.08.2026  ·  PMID 42641939</w:t>
      </w:r>
    </w:p>
    <w:p>
      <w:r>
        <w:t>Prospektive Kohortenstudie (n=120) zu Zinkspiegeln bei Sepsispatienten zwischen Aufnahme und Tag 3; Analysen mit gemischtem Modell und Cox-Regression.</w:t>
      </w:r>
    </w:p>
    <w:p>
      <w:r>
        <w:rPr>
          <w:b/>
        </w:rPr>
        <w:t xml:space="preserve">Ergebnis: </w:t>
      </w:r>
      <w:r>
        <w:t>Patienten, die bis Tag 7 starben, zeigten keine unterschiedlichen Ausgangszinkwerte, aber niedrigere Zinkwerte am Tag 3 (56,05 vs. 68,65 µg/dL; p=0,081) und geringere Zinkzunahme vom Aufnahme- bis Tag 3 (0,80 vs. 15,40 µg/dL; p=0,017). Höhere Zinkwerte am Tag 3 waren mit niedrigerer Mortalität assoziiert (HR pro 10 µg/dL 0,77; 95%-KI 0,60–0,97; p=0,028). Versatz der Zinktrajektor zeichnete signifikant unterschiedliche Kurven nach Ausgang (Interaktion p=0,0022).</w:t>
      </w:r>
    </w:p>
    <w:p>
      <w:r>
        <w:rPr>
          <w:b/>
          <w:sz w:val="19"/>
        </w:rPr>
        <w:t xml:space="preserve">Übertragbarkeit: </w:t>
      </w:r>
      <w:r>
        <w:rPr>
          <w:sz w:val="19"/>
        </w:rPr>
        <w:t>Vietnam mit deutschem Partnerzentrum, messbarer Frühmarker für Sepsisrisiko</w:t>
      </w:r>
    </w:p>
    <w:p>
      <w:r>
        <w:rPr>
          <w:color w:val="5A7D3A"/>
          <w:sz w:val="18"/>
        </w:rPr>
        <w:t>https://pubmed.ncbi.nlm.nih.gov/42641939/</w:t>
      </w:r>
    </w:p>
    <w:p>
      <w:pPr>
        <w:pStyle w:val="Heading1"/>
      </w:pPr>
      <w:r>
        <w:t>Aufgenommen am 30.09.2026</w:t>
      </w:r>
    </w:p>
    <w:p>
      <w:pPr>
        <w:pStyle w:val="Heading2"/>
      </w:pPr>
      <w:r>
        <w:t>Chirurgische Infektionen steigern Behandlungskosten nach Bauchoperationen um 29.600 Euro</w:t>
      </w:r>
    </w:p>
    <w:p>
      <w:r>
        <w:rPr>
          <w:i/>
          <w:color w:val="666666"/>
          <w:sz w:val="18"/>
        </w:rPr>
        <w:t>Bontekoning N et al.  ·  BJS Open  ·  04.09.2026  ·  PMID 42808217</w:t>
      </w:r>
    </w:p>
    <w:p>
      <w:r>
        <w:t>Sekundäranalyse der EPO2CH-Studie mit 1.119 Patienten quantifizierte Kosten und Lebensqualität nach elektiven Bauchoperationen mit Infektionen versus ohne.</w:t>
      </w:r>
    </w:p>
    <w:p>
      <w:r>
        <w:rPr>
          <w:b/>
        </w:rPr>
        <w:t xml:space="preserve">Ergebnis: </w:t>
      </w:r>
      <w:r>
        <w:t>Patienten mit Infektionen: durchschnittliche Kosten 53.562 Euro vs. 23.969 Euro ohne Infektionen (Differenz 29.592 Euro). Qualitätsverlust: 0,171 QALYs vs. 0,205 ohne Infektionen (Differenz -0,035), entsprechend 12,78 Tagen verlorener Gesundheit in 3 Monaten. Anastomoseninsuffizienz mit höchsten Kosten (56.401 Euro mehr).</w:t>
      </w:r>
    </w:p>
    <w:p>
      <w:r>
        <w:rPr>
          <w:b/>
          <w:sz w:val="19"/>
        </w:rPr>
        <w:t xml:space="preserve">Übertragbarkeit: </w:t>
      </w:r>
      <w:r>
        <w:rPr>
          <w:sz w:val="19"/>
        </w:rPr>
        <w:t>Niederländische Klinikdaten, vergleichbares Versicherungssystem</w:t>
      </w:r>
    </w:p>
    <w:p>
      <w:r>
        <w:rPr>
          <w:color w:val="5A7D3A"/>
          <w:sz w:val="18"/>
        </w:rPr>
        <w:t>https://pubmed.ncbi.nlm.nih.gov/42808217/</w:t>
      </w:r>
    </w:p>
    <w:p>
      <w:pPr>
        <w:pStyle w:val="Heading2"/>
      </w:pPr>
      <w:r>
        <w:t>Desinfektion der Reinigungswerkzeuge senkt Pathogenkontamination um 50 Prozent</w:t>
      </w:r>
    </w:p>
    <w:p>
      <w:r>
        <w:rPr>
          <w:i/>
          <w:color w:val="666666"/>
          <w:sz w:val="18"/>
        </w:rPr>
        <w:t>Zhang X et al.  ·  Front Public Health  ·  14.09.2026  ·  PMID 42807511</w:t>
      </w:r>
    </w:p>
    <w:p>
      <w:r>
        <w:t>Querschnittsstudie mit 5.000 Proben von wiederverwendbaren Reinigungswerkzeugen in Shanghaier Krankenhäusern ermittelte Kontaminationsquoten und Effektivität von Desinfektionsmethoden.</w:t>
      </w:r>
    </w:p>
    <w:p>
      <w:r>
        <w:rPr>
          <w:b/>
        </w:rPr>
        <w:t xml:space="preserve">Ergebnis: </w:t>
      </w:r>
      <w:r>
        <w:t>Gesamtkontaminationsquote 7,44%. Werkzeuge ohne routinemäßige Desinfektion: 1,859-fach höheres Infektionsrisiko (OR; 95%-KI 1,283–2,691). Disposable-Desinfektionstücher effektiver als Wischen mit Lappen (p=0,038). Interne Medizin und Chirurgie höheres Risiko als Intensivstation (OR 1,90 bzw. 1,92).</w:t>
      </w:r>
    </w:p>
    <w:p>
      <w:r>
        <w:rPr>
          <w:b/>
          <w:sz w:val="19"/>
        </w:rPr>
        <w:t xml:space="preserve">Übertragbarkeit: </w:t>
      </w:r>
      <w:r>
        <w:rPr>
          <w:sz w:val="19"/>
        </w:rPr>
        <w:t>China, Prinzipien universal, aber lokale Hygienestandards variabel</w:t>
      </w:r>
    </w:p>
    <w:p>
      <w:r>
        <w:rPr>
          <w:color w:val="5A7D3A"/>
          <w:sz w:val="18"/>
        </w:rPr>
        <w:t>https://pubmed.ncbi.nlm.nih.gov/42807511/</w:t>
      </w:r>
    </w:p>
    <w:p>
      <w:pPr>
        <w:pStyle w:val="Heading2"/>
      </w:pPr>
      <w:r>
        <w:t>Infektionsprävention kontrolierte ESBL-Klebsiella-Ausbruch auf Neugeborenen-Station in 2 Monaten</w:t>
      </w:r>
    </w:p>
    <w:p>
      <w:r>
        <w:rPr>
          <w:i/>
          <w:color w:val="666666"/>
          <w:sz w:val="18"/>
        </w:rPr>
        <w:t>Comelli A et al.  ·  Antimicrob Resist Infect Control  ·  29.09.2026  ·  PMID 42806396</w:t>
      </w:r>
    </w:p>
    <w:p>
      <w:r>
        <w:t>Retrospektive Fall-Kontroll-Studie eines Ausbruchs mit 44 bestätigten ESBL-Klebsiella-Fällen in einer Neugeborenen-Intensivstation in Bangui dokumentierte Maßnahmen zur Ausbruchkontrolle.</w:t>
      </w:r>
    </w:p>
    <w:p>
      <w:r>
        <w:rPr>
          <w:b/>
        </w:rPr>
        <w:t xml:space="preserve">Ergebnis: </w:t>
      </w:r>
      <w:r>
        <w:t>Inzidenz 29,7 Fälle pro 1.000 Patiententage. Mortalität in der Infektionsgruppe 3,5-fach höher. Überbelegung &gt;100% und schlechte Infektionsprävention initial. Nach IPC-Interventionen (erste Monatshälfte): Ausbruch in ~2 Monaten kontrolliert. 56,8% frühe Sepsis, maternale Risikofaktoren stärkster unabhängiger Risikofaktor.</w:t>
      </w:r>
    </w:p>
    <w:p>
      <w:r>
        <w:rPr>
          <w:b/>
          <w:sz w:val="19"/>
        </w:rPr>
        <w:t xml:space="preserve">Übertragbarkeit: </w:t>
      </w:r>
      <w:r>
        <w:rPr>
          <w:sz w:val="19"/>
        </w:rPr>
        <w:t>Mittel-Afrika, prinzipien auf Deutschland übertragbar, aber Ressourcenunterschiede erheblich</w:t>
      </w:r>
    </w:p>
    <w:p>
      <w:r>
        <w:rPr>
          <w:color w:val="5A7D3A"/>
          <w:sz w:val="18"/>
        </w:rPr>
        <w:t>https://pubmed.ncbi.nlm.nih.gov/42806396/</w:t>
      </w:r>
    </w:p>
    <w:p>
      <w:pPr>
        <w:pStyle w:val="Heading2"/>
      </w:pPr>
      <w:r>
        <w:t>Mitochondriale Proteine prognostizieren Sepsis-Mortalität: 72-Stunden-Vorhersage möglich</w:t>
      </w:r>
    </w:p>
    <w:p>
      <w:r>
        <w:rPr>
          <w:i/>
          <w:color w:val="666666"/>
          <w:sz w:val="18"/>
        </w:rPr>
        <w:t>Meems CJ et al.  ·  Crit Care  ·  29.08.2026  ·  PMID 42806380</w:t>
      </w:r>
    </w:p>
    <w:p>
      <w:r>
        <w:t>Post-hoc-Analyse der Acutelines-Biobank mit 213 Sepsis-Patienten untersuchte, ob Plasmaprofile mitochondrial-assoziierter Proteine (232 aus 5.416 gemessenen) mit Schweregrad und Kurzzeitausgang verbunden sind.</w:t>
      </w:r>
    </w:p>
    <w:p>
      <w:r>
        <w:rPr>
          <w:b/>
        </w:rPr>
        <w:t xml:space="preserve">Ergebnis: </w:t>
      </w:r>
      <w:r>
        <w:t>Mitochondrial-Protein-Score korrelierte mit Schweregrad (Spearman ρ 0,18–0,29; p&lt;0,01) und schlechteren 72-h-Ergebnissen: Organversagen-freies Überleben OR 0,57 pro Standardabweichung; ICU-Aufnahme OR 1,66; Mortalität OR 2,36. Zwei Cluster identifiziert, aber eher kontinuierliches Spektrum als diskrete Subphänotypen.</w:t>
      </w:r>
    </w:p>
    <w:p>
      <w:r>
        <w:rPr>
          <w:b/>
          <w:sz w:val="19"/>
        </w:rPr>
        <w:t xml:space="preserve">Übertragbarkeit: </w:t>
      </w:r>
      <w:r>
        <w:rPr>
          <w:sz w:val="19"/>
        </w:rPr>
        <w:t>Niederlande, europäisches Gesundheitssystem, methodisch vergleichbar</w:t>
      </w:r>
    </w:p>
    <w:p>
      <w:r>
        <w:rPr>
          <w:color w:val="5A7D3A"/>
          <w:sz w:val="18"/>
        </w:rPr>
        <w:t>https://pubmed.ncbi.nlm.nih.gov/42806380/</w:t>
      </w:r>
    </w:p>
    <w:p>
      <w:pPr>
        <w:pStyle w:val="Heading2"/>
      </w:pPr>
      <w:r>
        <w:t>Bluttransfusion bei krebskranken Sepsis-Patienten: restrictive Strategie nicht unterlegen</w:t>
      </w:r>
    </w:p>
    <w:p>
      <w:r>
        <w:rPr>
          <w:i/>
          <w:color w:val="666666"/>
          <w:sz w:val="18"/>
        </w:rPr>
        <w:t>Pène F et al.  ·  Intensive Care Med  ·  19.08.2026  ·  PMID 42616082</w:t>
      </w:r>
    </w:p>
    <w:p>
      <w:r>
        <w:t>Randomisierte Studie (TRANSPORT) mit 187 Patienten mit Krebs und septischem Schock verglich liberale versus restrictive RBC-Transfusionsstrategie auf Basis Hämoglobin-Schwellenwerte.</w:t>
      </w:r>
    </w:p>
    <w:p>
      <w:r>
        <w:rPr>
          <w:b/>
        </w:rPr>
        <w:t xml:space="preserve">Ergebnis: </w:t>
      </w:r>
      <w:r>
        <w:t>Liberale Gruppe (Hb 9,0): 52% mit 12-h-Laktat-Reduktion. Restrictive Gruppe (Hb 7,0): 50% (OR 1,07; KI 0,60–1,90; p=0,82). Thrombotische Ereignisse liberale: 13% vs. restrictive 1% (p=0,001). 28-Tage-Mortalität 46% vs. 53% (p=0,34). Studie vorzeitig wegen Sicherheitsbedenken gestoppt.</w:t>
      </w:r>
    </w:p>
    <w:p>
      <w:r>
        <w:rPr>
          <w:b/>
          <w:sz w:val="19"/>
        </w:rPr>
        <w:t xml:space="preserve">Übertragbarkeit: </w:t>
      </w:r>
      <w:r>
        <w:rPr>
          <w:sz w:val="19"/>
        </w:rPr>
        <w:t>Frankreich, europäisches Gesundheitssystem, Design übertragbar</w:t>
      </w:r>
    </w:p>
    <w:p>
      <w:r>
        <w:rPr>
          <w:color w:val="5A7D3A"/>
          <w:sz w:val="18"/>
        </w:rPr>
        <w:t>https://pubmed.ncbi.nlm.nih.gov/42616082/</w:t>
      </w:r>
    </w:p>
    <w:p>
      <w:pPr>
        <w:pStyle w:val="Heading2"/>
      </w:pPr>
      <w:r>
        <w:t>Pandemie änderte Sterberisiko viraler Sepsis: französische ICU-Kohortenstudie</w:t>
      </w:r>
    </w:p>
    <w:p>
      <w:r>
        <w:rPr>
          <w:i/>
          <w:color w:val="666666"/>
          <w:sz w:val="18"/>
        </w:rPr>
        <w:t>Al Rahmoun M et al.  ·  Int J Infect Dis  ·  16.08.2026  ·  PMID 42604654</w:t>
      </w:r>
    </w:p>
    <w:p>
      <w:r>
        <w:t>Analyse von 604.517 Patienten auf französischen Intensivstationen zeigte, dass COVID-19-Pandemie die Mortalitätsassoziation zwischen viraler und bakterieller Sepsis umkehrte.</w:t>
      </w:r>
    </w:p>
    <w:p>
      <w:r>
        <w:rPr>
          <w:b/>
        </w:rPr>
        <w:t xml:space="preserve">Ergebnis: </w:t>
      </w:r>
      <w:r>
        <w:t>Präpandemisch: virale Sepsis mit reduzierter In-Hospital-Mortalität vs. bakterieller Sepsis (aOR 0,63 bis 0,67). Während Pandemie: virale Sepsis (überwiegend COVID-19) mit erhöhter Mortalität (aOR 1,41 mit Koinfektionen). Gesamtmortalität stationär 29,2%, 90-Tage-Mortalität 34,0%.</w:t>
      </w:r>
    </w:p>
    <w:p>
      <w:r>
        <w:rPr>
          <w:b/>
          <w:sz w:val="19"/>
        </w:rPr>
        <w:t xml:space="preserve">Übertragbarkeit: </w:t>
      </w:r>
      <w:r>
        <w:rPr>
          <w:sz w:val="19"/>
        </w:rPr>
        <w:t>Französische Kohortendaten, europäisches Gesundheitssystem, direkt übertragbar</w:t>
      </w:r>
    </w:p>
    <w:p>
      <w:r>
        <w:rPr>
          <w:color w:val="5A7D3A"/>
          <w:sz w:val="18"/>
        </w:rPr>
        <w:t>https://pubmed.ncbi.nlm.nih.gov/42604654/</w:t>
      </w:r>
    </w:p>
    <w:p>
      <w:pPr>
        <w:pStyle w:val="Heading1"/>
      </w:pPr>
      <w:r>
        <w:t>Aufgenommen am 29.09.2026</w:t>
      </w:r>
    </w:p>
    <w:p>
      <w:pPr>
        <w:pStyle w:val="Heading2"/>
      </w:pPr>
      <w:r>
        <w:t>Invasive Geräte und Zimmerbelegung mit CRE-Patienten verdoppeln Kolonisierungsrisiko in Langzeitpflege</w:t>
      </w:r>
    </w:p>
    <w:p>
      <w:r>
        <w:rPr>
          <w:i/>
          <w:color w:val="666666"/>
          <w:sz w:val="18"/>
        </w:rPr>
        <w:t>Hwang H et al.  ·  PLoS One  ·  28.09.2026  ·  PMID 42804487</w:t>
      </w:r>
    </w:p>
    <w:p>
      <w:r>
        <w:t>Prospektive aktive Überwachungsstudie an 140 Patienten in 4 südkoreanischen Langzeitkrankenhäusern (Nov. 2023 – Dez. 2024): Asymptomatic-CRE-Kolonisierungsprävalenz und Akquisitionsrisiken wurden untersucht.</w:t>
      </w:r>
    </w:p>
    <w:p>
      <w:r>
        <w:rPr>
          <w:b/>
        </w:rPr>
        <w:t xml:space="preserve">Ergebnis: </w:t>
      </w:r>
      <w:r>
        <w:t>Gesamtprävalenz: 24,3% (34/140); bei Neuzuweisungen 30,8%, bei Dauerpatienten 21,8%. Unter initial negativen Patienten: 8,6% erwarben CRE während Aufenthalt. Cox-Regression: invasive Geräte im letzten Jahr HR 9,83; vorherige Zimmerbelegung mit CRE-Positiven HR 5,01. KPC dominant (80%). Die Studie zeigt: Standardprecautions und zeitnahes Cohorting essentiell.</w:t>
      </w:r>
    </w:p>
    <w:p>
      <w:r>
        <w:rPr>
          <w:b/>
          <w:sz w:val="19"/>
        </w:rPr>
        <w:t xml:space="preserve">Übertragbarkeit: </w:t>
      </w:r>
      <w:r>
        <w:rPr>
          <w:sz w:val="19"/>
        </w:rPr>
        <w:t>Südkorea, vergleichbare Struktur langer Betreuung</w:t>
      </w:r>
    </w:p>
    <w:p>
      <w:r>
        <w:rPr>
          <w:color w:val="5A7D3A"/>
          <w:sz w:val="18"/>
        </w:rPr>
        <w:t>https://pubmed.ncbi.nlm.nih.gov/42804487/</w:t>
      </w:r>
    </w:p>
    <w:p>
      <w:pPr>
        <w:pStyle w:val="Heading2"/>
      </w:pPr>
      <w:r>
        <w:t>Frühzeitige hämodynamische Reaktion auf Dobutamin senkt Sepsissterblichkeit</w:t>
      </w:r>
    </w:p>
    <w:p>
      <w:r>
        <w:rPr>
          <w:i/>
          <w:color w:val="666666"/>
          <w:sz w:val="18"/>
        </w:rPr>
        <w:t>Tarbaghia M et al.  ·  Crit Care Explor  ·  01.10.2026  ·  PMID 42804358</w:t>
      </w:r>
    </w:p>
    <w:p>
      <w:r>
        <w:t>Retrospektive Kohortenstudie von 104 Patienten mit septischem Schock und Myokarddysfunktion: Hämodynamische Ansprechbarkeit auf Dobutamin (Steigerung der zentralvenösen O2-Sättigung um ≥5 Prozentpunkte plus Reduktion der Noradrenalin-Äquivalentdosis) wurde nach 2 Stunden definiert und mit 28-Tage-ICU-Mortalität verglichen.</w:t>
      </w:r>
    </w:p>
    <w:p>
      <w:r>
        <w:rPr>
          <w:b/>
        </w:rPr>
        <w:t xml:space="preserve">Ergebnis: </w:t>
      </w:r>
      <w:r>
        <w:t>37 Patienten (36%) waren Responder. Nach multivariater Anpassung war hämodynamische Response mit niedrigerer 28-Tage-ICU-Mortalität assoziiert (OR 0,18; 95%-KI 0,04–0,68; p=0,018): 41% Responder vs. 58% Non-Responder. Responder hatten mehr ICU-freie Tage (17 vs. 0). Baseline-Echokardiographieparameter identifizierten Responder nicht.</w:t>
      </w:r>
    </w:p>
    <w:p>
      <w:r>
        <w:rPr>
          <w:b/>
          <w:sz w:val="19"/>
        </w:rPr>
        <w:t xml:space="preserve">Übertragbarkeit: </w:t>
      </w:r>
      <w:r>
        <w:rPr>
          <w:sz w:val="19"/>
        </w:rPr>
        <w:t>USA; Sicherheitsbefund und Outcome-Hierarchie sind übertragbar</w:t>
      </w:r>
    </w:p>
    <w:p>
      <w:r>
        <w:rPr>
          <w:color w:val="5A7D3A"/>
          <w:sz w:val="18"/>
        </w:rPr>
        <w:t>https://pubmed.ncbi.nlm.nih.gov/42804358/</w:t>
      </w:r>
    </w:p>
    <w:p>
      <w:pPr>
        <w:pStyle w:val="Heading2"/>
      </w:pPr>
      <w:r>
        <w:t>Prehospital Fieber und gastrointestinale Symptome beeinflussen Antibiotikatiming bei Sepsis</w:t>
      </w:r>
    </w:p>
    <w:p>
      <w:r>
        <w:rPr>
          <w:i/>
          <w:color w:val="666666"/>
          <w:sz w:val="18"/>
        </w:rPr>
        <w:t>Conlon A et al.  ·  JAMA Netw Open  ·  01.09.2026  ·  PMID 42804206</w:t>
      </w:r>
    </w:p>
    <w:p>
      <w:r>
        <w:t>Kohortenstudie an 29.647 Patienten mit vermuteter bakterieller Sepsis: Präsentation mit Fieber erhöhte die Quote zeitiger Antibiotikagabe (≤3h bei Hypotonie, ≤5h ohne), gastrointestinale Symptome senkten sie; zeitige Antibiotika verbesserten 28-Tage-Mortalität auch nach Anpassung für Symptome.</w:t>
      </w:r>
    </w:p>
    <w:p>
      <w:r>
        <w:rPr>
          <w:b/>
        </w:rPr>
        <w:t xml:space="preserve">Ergebnis: </w:t>
      </w:r>
      <w:r>
        <w:t>Unter 6.704 Patienten mit Hypotonie erhielten 65,8% zeitig Antibiotika (innerhalb 3h); unter 22.942 ohne Hypotonie 76,5% (innerhalb 5h). Fieber war mit erhöhten Chancen zeitiger Antibiotika assoziiert (mit Hypotonie: aOR 1,34; ohne: aOR 1,26), gastrointestinale Symptome mit erniedrigten (aOR 0,84 bzw. 0,80). Zeitige Antibiotika: adjustierte absolute Mortalitätsdifferenz −2,10 Prozentpunkte. Die Studie zeigt: Klinische Präsentation steuert Erkennungsgeschwindigkeit, zeitige Therapie bleibt assoziiert mit besseren Outcomes.</w:t>
      </w:r>
    </w:p>
    <w:p>
      <w:r>
        <w:rPr>
          <w:b/>
          <w:sz w:val="19"/>
        </w:rPr>
        <w:t xml:space="preserve">Übertragbarkeit: </w:t>
      </w:r>
      <w:r>
        <w:rPr>
          <w:sz w:val="19"/>
        </w:rPr>
        <w:t>USA, Kohortendaten; nur Sicherheitsbefund ist übertragbar</w:t>
      </w:r>
    </w:p>
    <w:p>
      <w:r>
        <w:rPr>
          <w:color w:val="5A7D3A"/>
          <w:sz w:val="18"/>
        </w:rPr>
        <w:t>https://pubmed.ncbi.nlm.nih.gov/42804206/</w:t>
      </w:r>
    </w:p>
    <w:p>
      <w:pPr>
        <w:pStyle w:val="Heading2"/>
      </w:pPr>
      <w:r>
        <w:t>Systemischer Immun-Inflammations-Index senkt Antibiotikatage bei Neugeborenen-Sepsis um ein Drittel</w:t>
      </w:r>
    </w:p>
    <w:p>
      <w:r>
        <w:rPr>
          <w:i/>
          <w:color w:val="666666"/>
          <w:sz w:val="18"/>
        </w:rPr>
        <w:t>Gök ÇC et al.  ·  Eur J Pediatr  ·  28.09.2026  ·  PMID 42804011</w:t>
      </w:r>
    </w:p>
    <w:p>
      <w:r>
        <w:t>Retrospektive Kohortenstudie von 275 Neugeborenen (85 mit Blutkulturbewiesener früher Sepsis, 190 Kontrollen): SII als Marker für therapeutische Ansprechbarkeit und Antibiotic-Stewardship-Potenzial wurde bewertet.</w:t>
      </w:r>
    </w:p>
    <w:p>
      <w:r>
        <w:rPr>
          <w:b/>
        </w:rPr>
        <w:t xml:space="preserve">Ergebnis: </w:t>
      </w:r>
      <w:r>
        <w:t>Bei Diagnose: SII in Sepsisgruppe 812 (IQR 650–1120) vs. 515 (410–630) in Kontrollen; p&lt;0,001; AUC 0,87. Am Tag 3 zeigte SII schnellere Abnahme als CRP in 74,1% der Sepsisfälle. SII könnte schnell-Responder früh erkennen und sicher verkürzte Antibiotika-Kurse lenken – Unterschied zur tradierten CRP-Kinetik erheblich.</w:t>
      </w:r>
    </w:p>
    <w:p>
      <w:r>
        <w:rPr>
          <w:b/>
          <w:sz w:val="19"/>
        </w:rPr>
        <w:t xml:space="preserve">Übertragbarkeit: </w:t>
      </w:r>
      <w:r>
        <w:rPr>
          <w:sz w:val="19"/>
        </w:rPr>
        <w:t>Türkei; Sepsismarker sind länderübergreifend vergleichbar</w:t>
      </w:r>
    </w:p>
    <w:p>
      <w:r>
        <w:rPr>
          <w:color w:val="5A7D3A"/>
          <w:sz w:val="18"/>
        </w:rPr>
        <w:t>https://pubmed.ncbi.nlm.nih.gov/42804011/</w:t>
      </w:r>
    </w:p>
    <w:p>
      <w:pPr>
        <w:pStyle w:val="Heading2"/>
      </w:pPr>
      <w:r>
        <w:t>Scoring-Modell identifiziert Risiko für Endoskop-Reprocessing-Fehler mit 78% Spezifität</w:t>
      </w:r>
    </w:p>
    <w:p>
      <w:r>
        <w:rPr>
          <w:i/>
          <w:color w:val="666666"/>
          <w:sz w:val="18"/>
        </w:rPr>
        <w:t>Fang L et al.  ·  J Int Med Res  ·  28.09.2026  ·  PMID 42803735</w:t>
      </w:r>
    </w:p>
    <w:p>
      <w:r>
        <w:t>Retrospektive Observationsstudie an 2.744 Gastroskopie-Reprocessing-Zyklen in 3 chinesischen Zentren (Jan.–Dez. 2025): Ein Risikomodell wurde zur Vorhersage von Reprocessing-Fehlern entwickelt und intern validiert.</w:t>
      </w:r>
    </w:p>
    <w:p>
      <w:r>
        <w:rPr>
          <w:b/>
        </w:rPr>
        <w:t xml:space="preserve">Ergebnis: </w:t>
      </w:r>
      <w:r>
        <w:t>24,85% Fehlerquote (682/2.744). Sechs unabhängige Prädiktoren: Personal, Wascher-Desinfektor-Typ, Zubehör-Nutzungshäufigkeit, Reparaturvorgeschichte, Zeit bis Reprocessing, Personalalter. Scoring-Bereich −2 bis 18; AUC 0,834 (95%-KI 0,804–0,864) in Validierung. Bei Cutoff ≥10: Sensitivität 0,725, Spezifität 0,808, NPV 0,899. Praktisches System zur Früherkennung risikobehafteter Prozesse.</w:t>
      </w:r>
    </w:p>
    <w:p>
      <w:r>
        <w:rPr>
          <w:b/>
          <w:sz w:val="19"/>
        </w:rPr>
        <w:t xml:space="preserve">Übertragbarkeit: </w:t>
      </w:r>
      <w:r>
        <w:rPr>
          <w:sz w:val="19"/>
        </w:rPr>
        <w:t>China; externe Validierung notwendig</w:t>
      </w:r>
    </w:p>
    <w:p>
      <w:r>
        <w:rPr>
          <w:color w:val="5A7D3A"/>
          <w:sz w:val="18"/>
        </w:rPr>
        <w:t>https://pubmed.ncbi.nlm.nih.gov/42803735/</w:t>
      </w:r>
    </w:p>
    <w:p>
      <w:pPr>
        <w:pStyle w:val="Heading2"/>
      </w:pPr>
      <w:r>
        <w:t>Risikoscores für Tuberkulose-Medikamentennebenwirkungen zeigen moderate Diskriminierung, aber hohe Bias</w:t>
      </w:r>
    </w:p>
    <w:p>
      <w:r>
        <w:rPr>
          <w:i/>
          <w:color w:val="666666"/>
          <w:sz w:val="18"/>
        </w:rPr>
        <w:t>Li H et al.  ·  Front Public Health  ·  11.09.2026  ·  PMID 42798580</w:t>
      </w:r>
    </w:p>
    <w:p>
      <w:r>
        <w:t>Systematische Übersicht und Metaanalyse von 26 Studien (31 Modelle, n≈41.734) zu Vorhersagemodellen für medikamenteninduzierte Leberschädigung unter Anti-TB-Therapie in Ostasien: Validierung, Bias und Diskriminationsfähigkeit wurden bewertet.</w:t>
      </w:r>
    </w:p>
    <w:p>
      <w:r>
        <w:rPr>
          <w:b/>
        </w:rPr>
        <w:t xml:space="preserve">Ergebnis: </w:t>
      </w:r>
      <w:r>
        <w:t>Gepoolte AUC=0,81 (0,624–1,0 im Einzelnen). Nur eine Studie mit niedrigem Bias-Risiko; alle anderen mit hohem Risiko wegen fehlerhafter Datenbehandlung und univariater Prädiktorenauswahl. Risikofaktoren (p&lt;0,05): Lebererkrankungen, extrapulmonale TB, Alter ≥60, Alkohol, Komorbiditäten, Rückfallbehandlung, erhöhte AST, Diabetes, Rauchen. Uric acid inverse assoziiert. Hepatoprotektive Mittel zeigten keine Wirkung.</w:t>
      </w:r>
    </w:p>
    <w:p>
      <w:r>
        <w:rPr>
          <w:b/>
          <w:sz w:val="19"/>
        </w:rPr>
        <w:t xml:space="preserve">Übertragbarkeit: </w:t>
      </w:r>
      <w:r>
        <w:rPr>
          <w:sz w:val="19"/>
        </w:rPr>
        <w:t>Ostasien; methodische Schwächen begrenzen Anwendbarkeit</w:t>
      </w:r>
    </w:p>
    <w:p>
      <w:r>
        <w:rPr>
          <w:color w:val="5A7D3A"/>
          <w:sz w:val="18"/>
        </w:rPr>
        <w:t>https://pubmed.ncbi.nlm.nih.gov/42798580/</w:t>
      </w:r>
    </w:p>
    <w:p>
      <w:pPr>
        <w:pStyle w:val="Heading2"/>
      </w:pPr>
      <w:r>
        <w:t>Candida-parapsilosis-Fungämien auf Intensivstationen: resistenzabhängig höhere Sterblichkeit, keine schnellere Therapie hilft</w:t>
      </w:r>
    </w:p>
    <w:p>
      <w:r>
        <w:rPr>
          <w:i/>
          <w:color w:val="666666"/>
          <w:sz w:val="18"/>
        </w:rPr>
        <w:t>Katsiari M et al.  ·  Pathogens  ·  13.07.2026  ·  PMID 42515061</w:t>
      </w:r>
    </w:p>
    <w:p>
      <w:r>
        <w:t>Retrospektive Observationsstudie von 90 ICU-Patienten mit Candidämie (Athen, Griechenland): Speziesverteilung, Fluconazol-Resistenzen und Mortalitätsassoziationen wurden über ein Jahrzehnt verfolgt.</w:t>
      </w:r>
    </w:p>
    <w:p>
      <w:r>
        <w:rPr>
          <w:b/>
        </w:rPr>
        <w:t xml:space="preserve">Ergebnis: </w:t>
      </w:r>
      <w:r>
        <w:t>C. parapsilosis 33,7% (41,9% fluconazol-resistent), C. albicans 31,5%, C. auris 23,9%. Non-albicans-Bacteraemia trat später auf, mit niedrigerer Severity, aber fünffacher Vortherapie mit Antimykotika. Gesamtmortalität 53,3%; kein signifikanter Art-Unterschied. Weder prompte Therapie noch Antimykotikaklasse waren mit besserer Überlebenschance assoziiert. Mangelnde Effektivität therapeutischer Timing-Strategien.</w:t>
      </w:r>
    </w:p>
    <w:p>
      <w:r>
        <w:rPr>
          <w:b/>
          <w:sz w:val="19"/>
        </w:rPr>
        <w:t xml:space="preserve">Übertragbarkeit: </w:t>
      </w:r>
      <w:r>
        <w:rPr>
          <w:sz w:val="19"/>
        </w:rPr>
        <w:t>Griechenland (Europa); comparable ICU-Praxis</w:t>
      </w:r>
    </w:p>
    <w:p>
      <w:r>
        <w:rPr>
          <w:color w:val="5A7D3A"/>
          <w:sz w:val="18"/>
        </w:rPr>
        <w:t>https://pubmed.ncbi.nlm.nih.gov/42515061/</w:t>
      </w:r>
    </w:p>
    <w:p>
      <w:pPr>
        <w:pStyle w:val="Heading1"/>
      </w:pPr>
      <w:r>
        <w:t>Aufgenommen am 28.09.2026</w:t>
      </w:r>
    </w:p>
    <w:p>
      <w:pPr>
        <w:pStyle w:val="Heading2"/>
      </w:pPr>
      <w:r>
        <w:t>Unangemessene Empirikatherapie bei Blutvergiftung: Muster und vermeidbare Fehler</w:t>
      </w:r>
    </w:p>
    <w:p>
      <w:r>
        <w:rPr>
          <w:i/>
          <w:color w:val="666666"/>
          <w:sz w:val="18"/>
        </w:rPr>
        <w:t>Komori A et al.  ·  Medicine (Baltimore)  ·  25.09.2026  ·  PMID 42798086</w:t>
      </w:r>
    </w:p>
    <w:p>
      <w:r>
        <w:t>Retrospektive Analyse von Sepsispatienten in der Notaufnahme, die Antibiotika vor Kulturbefund erhielten, aber gegen den später isolierten Erreger unwirksam waren.</w:t>
      </w:r>
    </w:p>
    <w:p>
      <w:r>
        <w:rPr>
          <w:b/>
        </w:rPr>
        <w:t xml:space="preserve">Ergebnis: </w:t>
      </w:r>
      <w:r>
        <w:t>Von 118 Bacterämiepatienten erhielten 11 (9,3%) mikrobiologisch unangemessene Initialtherapie. Hauptursachen: Extended-Spectrum-β-Lactamase-Enterobakterien trotz richtiger Fokusdiagnose (mehrheitlich) oder Fehlidentifikation des Infektionsfokus. Mortalität höher bei falscher Fokusdiagnose.</w:t>
      </w:r>
    </w:p>
    <w:p>
      <w:r>
        <w:rPr>
          <w:b/>
          <w:sz w:val="19"/>
        </w:rPr>
        <w:t xml:space="preserve">Übertragbarkeit: </w:t>
      </w:r>
      <w:r>
        <w:rPr>
          <w:sz w:val="19"/>
        </w:rPr>
        <w:t>Japan-Studie, aber Befund zur Source-Kontrol und Stewardship übertragbar auf deutsche Notaufnahmen.</w:t>
      </w:r>
    </w:p>
    <w:p>
      <w:r>
        <w:rPr>
          <w:color w:val="5A7D3A"/>
          <w:sz w:val="18"/>
        </w:rPr>
        <w:t>https://pubmed.ncbi.nlm.nih.gov/42798086/</w:t>
      </w:r>
    </w:p>
    <w:p>
      <w:pPr>
        <w:pStyle w:val="Heading2"/>
      </w:pPr>
      <w:r>
        <w:t>Bakterielle Kontamination von Skalpellen und Instrumenten: Schaden ohne Folgen im Operationssaal</w:t>
      </w:r>
    </w:p>
    <w:p>
      <w:r>
        <w:rPr>
          <w:i/>
          <w:color w:val="666666"/>
          <w:sz w:val="18"/>
        </w:rPr>
        <w:t>Liang GH et al.  ·  Medicine (Baltimore)  ·  25.09.2026  ·  PMID 42798037</w:t>
      </w:r>
    </w:p>
    <w:p>
      <w:r>
        <w:t>Prospektive Studie zur Häufigkeit und Art intraoperativer bakterieller Kontamination bei Gelenkersatzoperationen und deren Bezug zu postoperativen Infektionen.</w:t>
      </w:r>
    </w:p>
    <w:p>
      <w:r>
        <w:rPr>
          <w:b/>
        </w:rPr>
        <w:t xml:space="preserve">Ergebnis: </w:t>
      </w:r>
      <w:r>
        <w:t>13 von 127 Patienten (10,2%) hatten mindestens eine positive Bakterienkultur von OP-Instrumenten (Skalpell Inzision 5,9%, Kontrolle 1,7%). Kein Unterschied in Patientencharakteristika zwischen kontaminiert und nicht-kontaminiert. In 24–38 Monaten Follow-up: null postoperative Infektionen, null periprosthetische Gelenkinfektionen. Kontamination ≠ klinische Infektion.</w:t>
      </w:r>
    </w:p>
    <w:p>
      <w:r>
        <w:rPr>
          <w:b/>
          <w:sz w:val="19"/>
        </w:rPr>
        <w:t xml:space="preserve">Übertragbarkeit: </w:t>
      </w:r>
      <w:r>
        <w:rPr>
          <w:sz w:val="19"/>
        </w:rPr>
        <w:t>China-Studie, Standardhygiene vergleichbar mit deutschem System, Surveillance-Meldepflicht.</w:t>
      </w:r>
    </w:p>
    <w:p>
      <w:r>
        <w:rPr>
          <w:color w:val="5A7D3A"/>
          <w:sz w:val="18"/>
        </w:rPr>
        <w:t>https://pubmed.ncbi.nlm.nih.gov/42798037/</w:t>
      </w:r>
    </w:p>
    <w:p>
      <w:pPr>
        <w:pStyle w:val="Heading2"/>
      </w:pPr>
      <w:r>
        <w:t>Ralstonia-Ausbruch auf Neonatologie: Kontaminiertes Wasser als vermeidbarer Schaden</w:t>
      </w:r>
    </w:p>
    <w:p>
      <w:r>
        <w:rPr>
          <w:i/>
          <w:color w:val="666666"/>
          <w:sz w:val="18"/>
        </w:rPr>
        <w:t>Uygun SS et al.  ·  Pathogens  ·  08.09.2026  ·  PMID 42796721</w:t>
      </w:r>
    </w:p>
    <w:p>
      <w:r>
        <w:t>Ausbruchuntersuchung nosokomialer Ralstonia-pickettii-Infektionen bei Neugeborenen, deren Quelle kontaminiertes steriles destilliertes Wasser war.</w:t>
      </w:r>
    </w:p>
    <w:p>
      <w:r>
        <w:rPr>
          <w:b/>
        </w:rPr>
        <w:t xml:space="preserve">Ergebnis: </w:t>
      </w:r>
      <w:r>
        <w:t>9 infizierte Neugeborene über 22 Monate, Mortalität 44,4%, davon 11,1% direkt zurechenbar. Nach Wasserwechsel und Infektionskontrollmaßnahmen keine weiteren Fälle. AP-PCR bestätigte genetische Verwandtschaft klinischer und Umweltproben.</w:t>
      </w:r>
    </w:p>
    <w:p>
      <w:r>
        <w:rPr>
          <w:b/>
          <w:sz w:val="19"/>
        </w:rPr>
        <w:t xml:space="preserve">Übertragbarkeit: </w:t>
      </w:r>
      <w:r>
        <w:rPr>
          <w:sz w:val="19"/>
        </w:rPr>
        <w:t>Deutschland: Vergleichbares Hygienemanagementsystem, Infektionsschutzgesetz mit Ausbruchsmeldepflicht.</w:t>
      </w:r>
    </w:p>
    <w:p>
      <w:r>
        <w:rPr>
          <w:color w:val="5A7D3A"/>
          <w:sz w:val="18"/>
        </w:rPr>
        <w:t>https://pubmed.ncbi.nlm.nih.gov/42796721/</w:t>
      </w:r>
    </w:p>
    <w:p>
      <w:pPr>
        <w:pStyle w:val="Heading2"/>
      </w:pPr>
      <w:r>
        <w:t>Sicherheitskultur in der Infektionskontrolle: Editorial ohne Studiendaten</w:t>
      </w:r>
    </w:p>
    <w:p>
      <w:r>
        <w:rPr>
          <w:i/>
          <w:color w:val="666666"/>
          <w:sz w:val="18"/>
        </w:rPr>
        <w:t>Azoicăi D et al.  ·  Medicina (Kaunas)  ·  06.09.2026  ·  PMID 42796314</w:t>
      </w:r>
    </w:p>
    <w:p>
      <w:r>
        <w:t>Redaktioneller Kommentar zur WHO-Warnung vor Eskalation von Infektionsrisiken und Antimikrobielles Stewardship, ohne Studienergebnisse.</w:t>
      </w:r>
    </w:p>
    <w:p>
      <w:r>
        <w:rPr>
          <w:b/>
        </w:rPr>
        <w:t xml:space="preserve">Ergebnis: </w:t>
      </w:r>
      <w:r>
        <w:t>Keine konkreten Ergebnisse, nur Warnung vor neu auftretenden und erneut auftretenden Infektionskrankheiten.</w:t>
      </w:r>
    </w:p>
    <w:p>
      <w:r>
        <w:rPr>
          <w:b/>
          <w:sz w:val="19"/>
        </w:rPr>
        <w:t xml:space="preserve">Übertragbarkeit: </w:t>
      </w:r>
      <w:r>
        <w:rPr>
          <w:sz w:val="19"/>
        </w:rPr>
        <w:t>Nicht qualifizierend: Expertenpapier ohne benennbare Ergebnisse.</w:t>
      </w:r>
    </w:p>
    <w:p>
      <w:r>
        <w:rPr>
          <w:color w:val="5A7D3A"/>
          <w:sz w:val="18"/>
        </w:rPr>
        <w:t>https://pubmed.ncbi.nlm.nih.gov/42796314/</w:t>
      </w:r>
    </w:p>
    <w:p>
      <w:pPr>
        <w:pStyle w:val="Heading2"/>
      </w:pPr>
      <w:r>
        <w:t>Mundhygiene und Handwaschen bei Adoleszenten: Verhaltensunterschiede nach Geschlecht und Einkommen</w:t>
      </w:r>
    </w:p>
    <w:p>
      <w:r>
        <w:rPr>
          <w:i/>
          <w:color w:val="666666"/>
          <w:sz w:val="18"/>
        </w:rPr>
        <w:t>Huang Z et al.  ·  Front Public Health  ·  10.09.2026  ·  PMID 42787371</w:t>
      </w:r>
    </w:p>
    <w:p>
      <w:r>
        <w:t>Querschnittsstudie aus 72 Ländern mit 244.040 Schülern (Global School-based Student Health Survey 2010–2019): Unterschiede in Zahnpflege und Händewaschen nach Geschlecht, Alter, Region und Einkommensniveau.</w:t>
      </w:r>
    </w:p>
    <w:p>
      <w:r>
        <w:rPr>
          <w:b/>
        </w:rPr>
        <w:t xml:space="preserve">Ergebnis: </w:t>
      </w:r>
      <w:r>
        <w:t>Zähneputzen &lt;1×/Tag: 10,9% (95%-KI 10,0–11,8), ≥2×/Tag: 70,5%. Nie/selten Hände vor Essen waschen: 6,5%, nach Toilette: 5,5%, ohne Seife: 9,0%. Jungen schlechter (z.B. &lt;1×/Tag putzen: 13,1% vs. Mädchen 8,6%). Ostmittelmeerregion höchste Prävalenz unzureichenden Zähnebürstens (30,7%). Einkommungradient für Zähneputzen (arm 12,5% → reich 4,4%), nicht für Händewaschen.</w:t>
      </w:r>
    </w:p>
    <w:p>
      <w:r>
        <w:rPr>
          <w:b/>
          <w:sz w:val="19"/>
        </w:rPr>
        <w:t xml:space="preserve">Übertragbarkeit: </w:t>
      </w:r>
      <w:r>
        <w:rPr>
          <w:sz w:val="19"/>
        </w:rPr>
        <w:t>72-Länder-Daten, aber Hygiene-Outcomes nicht auf nosokominale Infektionen, Schaden oder Versorgungsfehler bezogen.</w:t>
      </w:r>
    </w:p>
    <w:p>
      <w:r>
        <w:rPr>
          <w:color w:val="5A7D3A"/>
          <w:sz w:val="18"/>
        </w:rPr>
        <w:t>https://pubmed.ncbi.nlm.nih.gov/42787371/</w:t>
      </w:r>
    </w:p>
    <w:p>
      <w:pPr>
        <w:pStyle w:val="Heading2"/>
      </w:pPr>
      <w:r>
        <w:t>TNF-α-Test für Sepsiserkennung in der Notaufnahme: niedriges Vorhersagevermögen bleibt unsicher</w:t>
      </w:r>
    </w:p>
    <w:p>
      <w:r>
        <w:rPr>
          <w:i/>
          <w:color w:val="666666"/>
          <w:sz w:val="18"/>
        </w:rPr>
        <w:t>Cisteró B et al.  ·  Front Immunol  ·  10.09.2026  ·  PMID 42787037</w:t>
      </w:r>
    </w:p>
    <w:p>
      <w:r>
        <w:t>Prospektive Kohortenstudie: Bluttests auf Lipopolysaccharid-induzierte TNF-α-Freisetzung bei Notaufnahmepatienten mit Verdacht auf Infektion zur frühen Sepsis-Erkennung.</w:t>
      </w:r>
    </w:p>
    <w:p>
      <w:r>
        <w:rPr>
          <w:b/>
        </w:rPr>
        <w:t xml:space="preserve">Ergebnis: </w:t>
      </w:r>
      <w:r>
        <w:t>203 Patienten, 142 mit Sepsis-3 in 24 h diagnostiziert. Negative Tests in 75% häufig. Test-Sensitivität 78,9% (95%-KI 71,4–84,8), Spezifität 39,5% (95%-KI 25,6–55,3) für Sepsis-3. Nach Anpassung für Alter und qSOFA: OR 2,94 (95%-KI 1,28–6,75, p=0,011). Autoren beurteilen Test als ergänzend, nicht eigenständig aussagekräftig.</w:t>
      </w:r>
    </w:p>
    <w:p>
      <w:r>
        <w:rPr>
          <w:b/>
          <w:sz w:val="19"/>
        </w:rPr>
        <w:t xml:space="preserve">Übertragbarkeit: </w:t>
      </w:r>
      <w:r>
        <w:rPr>
          <w:sz w:val="19"/>
        </w:rPr>
        <w:t>Spanien: Notaufnahme-Setting vergleichbar, aber externe Validierung ausstehend.</w:t>
      </w:r>
    </w:p>
    <w:p>
      <w:r>
        <w:rPr>
          <w:color w:val="5A7D3A"/>
          <w:sz w:val="18"/>
        </w:rPr>
        <w:t>https://pubmed.ncbi.nlm.nih.gov/42787037/</w:t>
      </w:r>
    </w:p>
    <w:p>
      <w:pPr>
        <w:pStyle w:val="Heading2"/>
      </w:pPr>
      <w:r>
        <w:t>Rotschimmel-Supplements: seltene Nebenwirkungen, aber niedriges Meldesystem</w:t>
      </w:r>
    </w:p>
    <w:p>
      <w:r>
        <w:rPr>
          <w:i/>
          <w:color w:val="666666"/>
          <w:sz w:val="18"/>
        </w:rPr>
        <w:t>Cicero AFG et al.  ·  Nutrients  ·  14.07.2026  ·  PMID 42514371</w:t>
      </w:r>
    </w:p>
    <w:p>
      <w:r>
        <w:t>Strukturiertes europäisches Spontan-Meldesystem für Nebenwirkungen von Nahrungsergänzungsmitteln aus Rotem Schimmel bei leichter bis mäßiger Hypercholesterinämie.</w:t>
      </w:r>
    </w:p>
    <w:p>
      <w:r>
        <w:rPr>
          <w:b/>
        </w:rPr>
        <w:t xml:space="preserve">Ergebnis: </w:t>
      </w:r>
      <w:r>
        <w:t>148 Nebenwirkungsberichte von 12 europäischen Ländern (2022–2024), geschätzte Exposition 608.815 Patientenzeiträume. Gastrointestinale Ereignisse 45,9%, Arthromyalgie 16,9%, Überempfindlichkeit 10,8%. Schwere/ernsthafte Ereignisse 0,7%/1,4%. Geschätztes exposure-adjustiertes Melderisiko: 0,02% für alle, 0,0003% für ernsthafte Nebenwirkungen.</w:t>
      </w:r>
    </w:p>
    <w:p>
      <w:r>
        <w:rPr>
          <w:b/>
          <w:sz w:val="19"/>
        </w:rPr>
        <w:t xml:space="preserve">Übertragbarkeit: </w:t>
      </w:r>
      <w:r>
        <w:rPr>
          <w:sz w:val="19"/>
        </w:rPr>
        <w:t>Deutschland/DACH: Italienische, europäische Daten aus vergleichbarem Supplement-Regulierungssystem.</w:t>
      </w:r>
    </w:p>
    <w:p>
      <w:r>
        <w:rPr>
          <w:color w:val="5A7D3A"/>
          <w:sz w:val="18"/>
        </w:rPr>
        <w:t>https://pubmed.ncbi.nlm.nih.gov/42514371/</w:t>
      </w:r>
    </w:p>
    <w:p>
      <w:pPr>
        <w:pStyle w:val="Heading1"/>
      </w:pPr>
      <w:r>
        <w:t>Aufgenommen am 27.09.2026</w:t>
      </w:r>
    </w:p>
    <w:p>
      <w:pPr>
        <w:pStyle w:val="Heading2"/>
      </w:pPr>
      <w:r>
        <w:t>Pflegeanfänger erkennen Medikationsfehler und Stürze, benötigen aber Kultur der psychologischen Sicherheit</w:t>
      </w:r>
    </w:p>
    <w:p>
      <w:r>
        <w:rPr>
          <w:i/>
          <w:color w:val="666666"/>
          <w:sz w:val="18"/>
        </w:rPr>
        <w:t>Kohanová D et al.  ·  Nurs Health Sci  ·  Dez. 2026  ·  PMID 42799319</w:t>
      </w:r>
    </w:p>
    <w:p>
      <w:r>
        <w:t>Qualitative Sekundäranalyse von 1.442 Studierenden aus vier Ländern (Tschechien, Italien, Slowakei, Türkei), die über Patientsicherheitsvorfälle während Klinischer Praktika berichteten.</w:t>
      </w:r>
    </w:p>
    <w:p>
      <w:r>
        <w:rPr>
          <w:b/>
        </w:rPr>
        <w:t xml:space="preserve">Ergebnis: </w:t>
      </w:r>
      <w:r>
        <w:t>287 Vorfallbeschreibungen analysiert; am häufigsten: Medikationsfehler und Patientenstürze, gefolgt von Infektionsprävention, Kommunikationsfehler, unzureichende Betreuung. Studierende benannten multifaktoriale Ursachen (Patient, Kontext, Organisation, Mensch). Empfehlungen: strukturierte Debriefings, klare Meldekanäle, psychologisch sichere, nicht-punitiv gestaltete Lernumgebungen.</w:t>
      </w:r>
    </w:p>
    <w:p>
      <w:r>
        <w:rPr>
          <w:b/>
          <w:sz w:val="19"/>
        </w:rPr>
        <w:t xml:space="preserve">Übertragbarkeit: </w:t>
      </w:r>
      <w:r>
        <w:rPr>
          <w:sz w:val="19"/>
        </w:rPr>
        <w:t>Mitteleuropa und Südosteuropa, ähnliche Ausbildungsstrukturen</w:t>
      </w:r>
    </w:p>
    <w:p>
      <w:r>
        <w:rPr>
          <w:color w:val="5A7D3A"/>
          <w:sz w:val="18"/>
        </w:rPr>
        <w:t>https://pubmed.ncbi.nlm.nih.gov/42799319/</w:t>
      </w:r>
    </w:p>
    <w:p>
      <w:pPr>
        <w:pStyle w:val="Heading2"/>
      </w:pPr>
      <w:r>
        <w:t>Unangemessene Medikationen bei Älteren in der Primärversorgung: Häufigkeit und Risikofaktoren</w:t>
      </w:r>
    </w:p>
    <w:p>
      <w:r>
        <w:rPr>
          <w:i/>
          <w:color w:val="666666"/>
          <w:sz w:val="18"/>
        </w:rPr>
        <w:t>Paraschiv M et al.  ·  Medicina (Kaunas)  ·  20.09.2026  ·  PMID 42796419</w:t>
      </w:r>
    </w:p>
    <w:p>
      <w:r>
        <w:t>Retrospektive Beobachtungsstudie an 100 Patienten ≥65 Jahren in einer rumänischen Hausarztpraxis, die potenziell unangemessene Medikationen (PIM) nach vier etablierten Kriterien (STOPP v3, Beers, EU(7)-PIM, PRISCUS v2) identifizierte.</w:t>
      </w:r>
    </w:p>
    <w:p>
      <w:r>
        <w:rPr>
          <w:b/>
        </w:rPr>
        <w:t xml:space="preserve">Ergebnis: </w:t>
      </w:r>
      <w:r>
        <w:t>Mindestens eine PIM fanden sich bei 73% (STOPP), 62% (Beers), 60% (EU(7)-PIM) und 53% (PRISCUS) der Patienten. STOPP identifizierte signifikant mehr PIMs als die anderen Kriterien (p&lt;0,001). Medikamentenlast war in adjustierten Analysen der konsistenteste Risikofaktor für alle Kriterien.</w:t>
      </w:r>
    </w:p>
    <w:p>
      <w:r>
        <w:rPr>
          <w:b/>
          <w:sz w:val="19"/>
        </w:rPr>
        <w:t xml:space="preserve">Übertragbarkeit: </w:t>
      </w:r>
      <w:r>
        <w:rPr>
          <w:sz w:val="19"/>
        </w:rPr>
        <w:t>Rumänische Primärversorgung, ähnliche Versicherungssysteme wie Deutschland</w:t>
      </w:r>
    </w:p>
    <w:p>
      <w:r>
        <w:rPr>
          <w:color w:val="5A7D3A"/>
          <w:sz w:val="18"/>
        </w:rPr>
        <w:t>https://pubmed.ncbi.nlm.nih.gov/42796419/</w:t>
      </w:r>
    </w:p>
    <w:p>
      <w:pPr>
        <w:pStyle w:val="Heading2"/>
      </w:pPr>
      <w:r>
        <w:t>Antimikrobielles Stewardship senkt MRSA und multiresistente Enterobakterien</w:t>
      </w:r>
    </w:p>
    <w:p>
      <w:r>
        <w:rPr>
          <w:i/>
          <w:color w:val="666666"/>
          <w:sz w:val="18"/>
        </w:rPr>
        <w:t>Grindean A et al.  ·  Medicina (Kaunas)  ·  11.09.2026  ·  PMID 42796362</w:t>
      </w:r>
    </w:p>
    <w:p>
      <w:r>
        <w:t>Retrospektive Langzeitstudie 2023–2025 eines rumänischen Krankenhauses, die Auswirkungen erhöhter mikrobiologischer Testung und gezieltem Stewardship auf Antibiotikaresistenzen untersuchte.</w:t>
      </w:r>
    </w:p>
    <w:p>
      <w:r>
        <w:rPr>
          <w:b/>
        </w:rPr>
        <w:t xml:space="preserve">Ergebnis: </w:t>
      </w:r>
      <w:r>
        <w:t>E.-coli-MDR sank von 7,4% (Sem. II 2023) auf 0,0% (Sem. II 2025); S.-aureus-MRSA+MLSB von 30,6% auf 0,0%. Mikrobiologische Testintensität stieg von 18,05% auf 28,20%. Durchschnittliche Liegedauer bei Infektionen 15,35 Tage, auf chirurgischen Stationen 20,80 Tage.</w:t>
      </w:r>
    </w:p>
    <w:p>
      <w:r>
        <w:rPr>
          <w:b/>
          <w:sz w:val="19"/>
        </w:rPr>
        <w:t xml:space="preserve">Übertragbarkeit: </w:t>
      </w:r>
      <w:r>
        <w:rPr>
          <w:sz w:val="19"/>
        </w:rPr>
        <w:t>Europäisches Krankenhaus, vergleichbare Hygiene- und Qualitätsziele</w:t>
      </w:r>
    </w:p>
    <w:p>
      <w:r>
        <w:rPr>
          <w:color w:val="5A7D3A"/>
          <w:sz w:val="18"/>
        </w:rPr>
        <w:t>https://pubmed.ncbi.nlm.nih.gov/42796362/</w:t>
      </w:r>
    </w:p>
    <w:p>
      <w:pPr>
        <w:pStyle w:val="Heading2"/>
      </w:pPr>
      <w:r>
        <w:t>Interklinischer Transport bei Neugeborenen-Sepsis: Versorgungskette unterbrochen, Forschung fehlt</w:t>
      </w:r>
    </w:p>
    <w:p>
      <w:r>
        <w:rPr>
          <w:i/>
          <w:color w:val="666666"/>
          <w:sz w:val="18"/>
        </w:rPr>
        <w:t>Damian RO et al.  ·  Medicina (Kaunas)  ·  11.09.2026  ·  PMID 42796359</w:t>
      </w:r>
    </w:p>
    <w:p>
      <w:r>
        <w:t>Scoping Review (39 Quellen, 2020–2026) zu Variablen, Interventionen und Organisationspraktiken beim interklinischen Neugeborenen-Transport im Kontext von Sepsis-Früherkennung und -Behandlung.</w:t>
      </w:r>
    </w:p>
    <w:p>
      <w:r>
        <w:rPr>
          <w:b/>
        </w:rPr>
        <w:t xml:space="preserve">Ergebnis: </w:t>
      </w:r>
      <w:r>
        <w:t>24 indirekt-klinische, 7 indirekt-organisatorische, 4 indirekt-technische, 1 indirekt-experienzielle und 3 direkt-prozess/indirekt-sepsis-Ergebnis-Quellen. Keine Studie zeigte, dass eine Transport-Intervention unabhängig Sepsis-Ergebnisse verbessert. Antimikrobielles Timing, Kulturen, Perfusionsverlauf und strukturierte Handover unterrepräsentiert.</w:t>
      </w:r>
    </w:p>
    <w:p>
      <w:r>
        <w:rPr>
          <w:b/>
          <w:sz w:val="19"/>
        </w:rPr>
        <w:t xml:space="preserve">Übertragbarkeit: </w:t>
      </w:r>
      <w:r>
        <w:rPr>
          <w:sz w:val="19"/>
        </w:rPr>
        <w:t>Mehrere europäische Länder eingeschlossen, Organisationslücke übertragbar auf Deutschland</w:t>
      </w:r>
    </w:p>
    <w:p>
      <w:r>
        <w:rPr>
          <w:color w:val="5A7D3A"/>
          <w:sz w:val="18"/>
        </w:rPr>
        <w:t>https://pubmed.ncbi.nlm.nih.gov/42796359/</w:t>
      </w:r>
    </w:p>
    <w:p>
      <w:pPr>
        <w:pStyle w:val="Heading2"/>
      </w:pPr>
      <w:r>
        <w:t>Patientensicherheits-Screening vor bildgebenden Verfahren: Papierformulare dominieren, Standardisierung fehlt</w:t>
      </w:r>
    </w:p>
    <w:p>
      <w:r>
        <w:rPr>
          <w:i/>
          <w:color w:val="666666"/>
          <w:sz w:val="18"/>
        </w:rPr>
        <w:t>Mallinson MA et al.  ·  J Eval Clin Pract  ·  Sept. 2026  ·  PMID 42788779</w:t>
      </w:r>
    </w:p>
    <w:p>
      <w:r>
        <w:t>Freiheitsinformation-Anfrage an 129 englische NHS-Krankenhäuser und private Anbieter zur Nutzung und Gestaltung von Sicherheits-Screening-Formularen vor Diagnostischer Bildgebung.</w:t>
      </w:r>
    </w:p>
    <w:p>
      <w:r>
        <w:rPr>
          <w:b/>
        </w:rPr>
        <w:t xml:space="preserve">Ergebnis: </w:t>
      </w:r>
      <w:r>
        <w:t>Rücklaufquote 83,2%; 91,3% der NHS-Organisationen antworteten. 55,8% beantworteten innerhalb der erwarteten 20 Arbeitstage. Die Mehrheit nutzt Papierformulare; nur eine Organisation setzte vollständig auf digitale Formulare. Erhebliche Inkonsistenzen in Design und Interpretation berichtet.</w:t>
      </w:r>
    </w:p>
    <w:p>
      <w:r>
        <w:rPr>
          <w:b/>
          <w:sz w:val="19"/>
        </w:rPr>
        <w:t xml:space="preserve">Übertragbarkeit: </w:t>
      </w:r>
      <w:r>
        <w:rPr>
          <w:sz w:val="19"/>
        </w:rPr>
        <w:t>Großbritannien (NHS), andere Versorgungsstrukturen, aber vergleichbare Sicherheitsprobleme</w:t>
      </w:r>
    </w:p>
    <w:p>
      <w:r>
        <w:rPr>
          <w:color w:val="5A7D3A"/>
          <w:sz w:val="18"/>
        </w:rPr>
        <w:t>https://pubmed.ncbi.nlm.nih.gov/42788779/</w:t>
      </w:r>
    </w:p>
    <w:p>
      <w:pPr>
        <w:pStyle w:val="Heading2"/>
      </w:pPr>
      <w:r>
        <w:t>Sepsis-Vorhersagemodell LiSep LSTM funktioniert in Europa wie in USA, aber Kalibrierung erforderlich</w:t>
      </w:r>
    </w:p>
    <w:p>
      <w:r>
        <w:rPr>
          <w:i/>
          <w:color w:val="666666"/>
          <w:sz w:val="18"/>
        </w:rPr>
        <w:t>Tan HK et al.  ·  Sci Rep  ·  10.09.2026  ·  PMID 42722695</w:t>
      </w:r>
    </w:p>
    <w:p>
      <w:r>
        <w:t>Validierungsstudie eines Tiefenlern-Modells (LiSep LSTM) zur frühen Vorhersage septischen Schocks, trainiert an US-Daten (MIMIC-III), getestet an europäischer Kohorte (Amsterdam UMC).</w:t>
      </w:r>
    </w:p>
    <w:p>
      <w:r>
        <w:rPr>
          <w:b/>
        </w:rPr>
        <w:t xml:space="preserve">Ergebnis: </w:t>
      </w:r>
      <w:r>
        <w:t>Auf AUMC-Kohorte: AUROC 0,8851 (95%-KI 0,8612–0,909) mit Medianen 47,0 h vor Symptombeginn. Externe Validierung zeigte reduzierte Kalibrierung und Rückruf; gepooltes Training verbesserte AUROC und Brier-Score. Genauigkeit 0,60–0,77, Präzision niedrig (0,01–0,17) aufgrund hoher Falsch-Positive.</w:t>
      </w:r>
    </w:p>
    <w:p>
      <w:r>
        <w:rPr>
          <w:b/>
          <w:sz w:val="19"/>
        </w:rPr>
        <w:t xml:space="preserve">Übertragbarkeit: </w:t>
      </w:r>
      <w:r>
        <w:rPr>
          <w:sz w:val="19"/>
        </w:rPr>
        <w:t>USA und Niederlande, externe Validierung ist übertragbar, Lokalanpassung notwendig</w:t>
      </w:r>
    </w:p>
    <w:p>
      <w:r>
        <w:rPr>
          <w:color w:val="5A7D3A"/>
          <w:sz w:val="18"/>
        </w:rPr>
        <w:t>https://pubmed.ncbi.nlm.nih.gov/42722695/</w:t>
      </w:r>
    </w:p>
    <w:p>
      <w:pPr>
        <w:pStyle w:val="Heading1"/>
      </w:pPr>
      <w:r>
        <w:t>Aufgenommen am 26.09.2026</w:t>
      </w:r>
    </w:p>
    <w:p>
      <w:pPr>
        <w:pStyle w:val="Heading2"/>
      </w:pPr>
      <w:r>
        <w:t>Glow-Licht-Audit verbessserte Händehygiene-Qualität im NICU um 87 % - von 19,7 % auf 37 % Fehlerfreiheit</w:t>
      </w:r>
    </w:p>
    <w:p>
      <w:r>
        <w:rPr>
          <w:i/>
          <w:color w:val="666666"/>
          <w:sz w:val="18"/>
        </w:rPr>
        <w:t>Chubey R et al.  ·  Neonatal Netw  ·  01.09.2026  ·  PMID 42791024</w:t>
      </w:r>
    </w:p>
    <w:p>
      <w:r>
        <w:t>Quality-Improvement-Projekt (PDSA-Zyklen) in kanadischem NICU: Audit der Händehygiene-Qualität mit Glow-Lotion und UV-Licht zur visuellen Rückmeldung über unvollständige Waschstellen; Messung bei Eintritt aller Fachpersonen.</w:t>
      </w:r>
    </w:p>
    <w:p>
      <w:r>
        <w:rPr>
          <w:b/>
        </w:rPr>
        <w:t xml:space="preserve">Ergebnis: </w:t>
      </w:r>
      <w:r>
        <w:t>Anteil der Teilnehmer ohne Glow-Areale (Indikator perfekter Händehygiene) erhöht von 19,7 % auf 37 %. Anteil mit &gt;2 fehlgewaschenen Zonen sank von 39,6 % auf 20,7 %. Hinweis: Trotz Verbesserung zeigten einige Mitarbeiter noch mindestens eine Glow-Zone, unterstreicht Notwendigkeit kontinuierlicher Audits. Autoren fordern multidisziplinäre Edukation und regelmäßige Audits.</w:t>
      </w:r>
    </w:p>
    <w:p>
      <w:r>
        <w:rPr>
          <w:b/>
          <w:sz w:val="19"/>
        </w:rPr>
        <w:t xml:space="preserve">Übertragbarkeit: </w:t>
      </w:r>
      <w:r>
        <w:rPr>
          <w:sz w:val="19"/>
        </w:rPr>
        <w:t>Kanada, NICU-Setting; direkt übertragbar auf deutsche Intensivstationen mit verfügbarer Glow-Technologie</w:t>
      </w:r>
    </w:p>
    <w:p>
      <w:r>
        <w:rPr>
          <w:color w:val="5A7D3A"/>
          <w:sz w:val="18"/>
        </w:rPr>
        <w:t>https://pubmed.ncbi.nlm.nih.gov/42791024/</w:t>
      </w:r>
    </w:p>
    <w:p>
      <w:pPr>
        <w:pStyle w:val="Heading2"/>
      </w:pPr>
      <w:r>
        <w:t>Katheter-assoziierte Harnwegsinfektionen auf Intensivstationen erhöhten Verweildauer, nicht direkt die Sterblichkeit</w:t>
      </w:r>
    </w:p>
    <w:p>
      <w:r>
        <w:rPr>
          <w:i/>
          <w:color w:val="666666"/>
          <w:sz w:val="18"/>
        </w:rPr>
        <w:t>Bartoszewicz M et al.  ·  PLoS One  ·  25.09.2026  ·  PMID 42789543</w:t>
      </w:r>
    </w:p>
    <w:p>
      <w:r>
        <w:t>Retrospektive Kohortenstudie in Polen (2017-2023) an 3.231 ICU-Aufnahmen zur Charakterisierung bakterieller Katheter-assoziierter Harnwegsinfektionen (CAUTI) und deren Assoziation mit Patientencharakteristika und Mortalität.</w:t>
      </w:r>
    </w:p>
    <w:p>
      <w:r>
        <w:rPr>
          <w:b/>
        </w:rPr>
        <w:t xml:space="preserve">Ergebnis: </w:t>
      </w:r>
      <w:r>
        <w:t>CAUTI trat in 301 Patienten auf (9,3%; 95%-KI 8,4-10,4%). ICU-Verweildauer/Katheter-Exposition CAUTI 28,3 vs. 13,6 Tage (Differenz 14,8 Tage; 95%-KI 11,7-17,8). Mortalität 49,2% (CAUTI) vs. 45,9% (keine CAUTI); nach Adjustment für Aufnahmecharakteristika war CAUTI nicht mit Tod assoziiert (OR 0,95; 95%-KI 0,75-1,22). Unabhängige Risikofaktoren: weibliches Geschlecht (OR 1,48), Adipositas (OR 1,62), COVID-19 (OR 2,16). 66,4% der Isolate zeigten Resistenzphänotypen.</w:t>
      </w:r>
    </w:p>
    <w:p>
      <w:r>
        <w:rPr>
          <w:b/>
          <w:sz w:val="19"/>
        </w:rPr>
        <w:t xml:space="preserve">Übertragbarkeit: </w:t>
      </w:r>
      <w:r>
        <w:rPr>
          <w:sz w:val="19"/>
        </w:rPr>
        <w:t>Polen, europäisches Gesundheitssystem mit ICU-Standards ähnlich Deutschland</w:t>
      </w:r>
    </w:p>
    <w:p>
      <w:r>
        <w:rPr>
          <w:color w:val="5A7D3A"/>
          <w:sz w:val="18"/>
        </w:rPr>
        <w:t>https://pubmed.ncbi.nlm.nih.gov/42789543/</w:t>
      </w:r>
    </w:p>
    <w:p>
      <w:pPr>
        <w:pStyle w:val="Heading2"/>
      </w:pPr>
      <w:r>
        <w:t>Reserve-Antibiotika-Stewardship senkten unangemessene Anwendungen bei Kindern um ein Drittel</w:t>
      </w:r>
    </w:p>
    <w:p>
      <w:r>
        <w:rPr>
          <w:i/>
          <w:color w:val="666666"/>
          <w:sz w:val="18"/>
        </w:rPr>
        <w:t>Echávarri de Miguel M et al.  ·  Eur J Pediatr  ·  25.09.2026  ·  PMID 42789114</w:t>
      </w:r>
    </w:p>
    <w:p>
      <w:r>
        <w:t>Retrospektive Studie zu WHO-Reserve-Antibiotika (Ceftazidim-Avibactam, Ceftolozane-Tazobactam, Cefiderocol u.a.) in einer pädiatrischen Universitätsklinik; nach Implementierung eines strukturierten Stewardship-Programms mit Formularbeschränkung und elektronischen Verschreibungstools wurden Indikationen überprüft.</w:t>
      </w:r>
    </w:p>
    <w:p>
      <w:r>
        <w:rPr>
          <w:b/>
        </w:rPr>
        <w:t xml:space="preserve">Ergebnis: </w:t>
      </w:r>
      <w:r>
        <w:t>96 Behandlungsepisoden analysiert. Cefiderocol und Ceftazidim-Avibactam zeigten hohe Übereinstimmung mit Resistenzkriterien; Ceftolozane-Tazobactam und Ceftaroline wurden häufiger empirisch eingesetzt. Nach Stewardship-Implementierung (formulary restriction, elektronische Prescribing-Safeguards, WHO-AWaRe-Integration) verbesserte sich die Indikationsstellung und klinische Governance.</w:t>
      </w:r>
    </w:p>
    <w:p>
      <w:r>
        <w:rPr>
          <w:b/>
          <w:sz w:val="19"/>
        </w:rPr>
        <w:t xml:space="preserve">Übertragbarkeit: </w:t>
      </w:r>
      <w:r>
        <w:rPr>
          <w:sz w:val="19"/>
        </w:rPr>
        <w:t>Spanien; vergleichbar mit deutschen Universitätskliniken und Stewardship-Vorgaben</w:t>
      </w:r>
    </w:p>
    <w:p>
      <w:r>
        <w:rPr>
          <w:color w:val="5A7D3A"/>
          <w:sz w:val="18"/>
        </w:rPr>
        <w:t>https://pubmed.ncbi.nlm.nih.gov/42789114/</w:t>
      </w:r>
    </w:p>
    <w:p>
      <w:pPr>
        <w:pStyle w:val="Heading2"/>
      </w:pPr>
      <w:r>
        <w:t>Aufmerksamkeit auf Sepsiszeichen ist Schlüssel zur frühzeitigen Diagnose - Framework für Kliniker und Organisationen</w:t>
      </w:r>
    </w:p>
    <w:p>
      <w:r>
        <w:rPr>
          <w:i/>
          <w:color w:val="666666"/>
          <w:sz w:val="18"/>
        </w:rPr>
        <w:t>Birken SA et al.  ·  Crit Care Explor  ·  01.10.2026  ·  PMID 42788993</w:t>
      </w:r>
    </w:p>
    <w:p>
      <w:r>
        <w:t>Qualitative Observationsstudie (41 Interviews an 20 US-Krankenhäusern mit System-, Abteilungs- und Kliniker-Ebenen-Akteuren) zur Entwicklung und Validierung des SepsisDx-Frameworks für genaue, zeitnahe Sepsisdiagnose.</w:t>
      </w:r>
    </w:p>
    <w:p>
      <w:r>
        <w:rPr>
          <w:b/>
        </w:rPr>
        <w:t xml:space="preserve">Ergebnis: </w:t>
      </w:r>
      <w:r>
        <w:t>SepsisDx-Framework bestätigt zentrale These: Sepsisdiagnose wird durch Wechselwirkung von Mikro-, Meso- und Makroebenen beeinflusst. Wichtigste Faktor auf Individualebene: Aufmerksamkeit (noticing, encoding, interpreting, focusing time/effort). Aufmerksamkeit reduziert durch mehrdeutige klinische Präsentationen und Schocks (z.B. COVID-19). Organisatorische Strategien (Audit und Feedback) erhöhten Organisations-Aufmerksamkeit, reduzierten aber Provider-Aufmerksamkeit; Effektivität moderiert durch Personalausstattung. Framework klärt Mechanismen und informiert Interventions-Design.</w:t>
      </w:r>
    </w:p>
    <w:p>
      <w:r>
        <w:rPr>
          <w:b/>
          <w:sz w:val="19"/>
        </w:rPr>
        <w:t xml:space="preserve">Übertragbarkeit: </w:t>
      </w:r>
      <w:r>
        <w:rPr>
          <w:sz w:val="19"/>
        </w:rPr>
        <w:t>USA, Gedankenmodell translabel auf Deutschland; Validierung in europäischen Systemen erforderlich</w:t>
      </w:r>
    </w:p>
    <w:p>
      <w:r>
        <w:rPr>
          <w:color w:val="5A7D3A"/>
          <w:sz w:val="18"/>
        </w:rPr>
        <w:t>https://pubmed.ncbi.nlm.nih.gov/42788993/</w:t>
      </w:r>
    </w:p>
    <w:p>
      <w:pPr>
        <w:pStyle w:val="Heading2"/>
      </w:pPr>
      <w:r>
        <w:t>Kliniker in Bangladesch unterstützen Antibiotic-Stewardship, scheitern aber an Umsetzung ohne Systeme</w:t>
      </w:r>
    </w:p>
    <w:p>
      <w:r>
        <w:rPr>
          <w:i/>
          <w:color w:val="666666"/>
          <w:sz w:val="18"/>
        </w:rPr>
        <w:t>Amin MA et al.  ·  J Biosoc Sci  ·  25.09.2026  ·  PMID 42788376</w:t>
      </w:r>
    </w:p>
    <w:p>
      <w:r>
        <w:t>Qualitative Interviewstudie (18 Kliniker, 36 Betreuer) an drei Krankenhäusern in Bangladesch zu Wissensstand und Perspektiven auf Antibiotic Stewardship bei Diarrhö bei Kindern unter fünf Jahren.</w:t>
      </w:r>
    </w:p>
    <w:p>
      <w:r>
        <w:rPr>
          <w:b/>
        </w:rPr>
        <w:t xml:space="preserve">Ergebnis: </w:t>
      </w:r>
      <w:r>
        <w:t>Wenige Kliniker kannten Begriff 'Antibiotic Stewardship', aber die meisten verstanden Kernprinzipien und unterstützten sie. Betreuer waren überwiegend unfamiliar damit. Kliniker beschrieben informale Stewardship-Bemühungen, aber Abwesenheit strukturierter Programme. Schlüssel-Barrieren: Community-Anbieter ohne Regulierung, Personalengpässe, Betreuer-Erwartungen für Antibiotika, Druck, Familien-Wünsche zu erfüllen. Forderung nach facility- und community-basiertem Ansatz mit Entscheidungs-Unterstützung, Antibiotika-Audits, Community-Edukation.</w:t>
      </w:r>
    </w:p>
    <w:p>
      <w:r>
        <w:rPr>
          <w:b/>
          <w:sz w:val="19"/>
        </w:rPr>
        <w:t xml:space="preserve">Übertragbarkeit: </w:t>
      </w:r>
      <w:r>
        <w:rPr>
          <w:sz w:val="19"/>
        </w:rPr>
        <w:t>Bangladesch (Low-Resource-Setting); Befunde zu Stewardship-Barrieren relevant für deutsche Diskussion bei Migration und vulnerablen Populationen</w:t>
      </w:r>
    </w:p>
    <w:p>
      <w:r>
        <w:rPr>
          <w:color w:val="5A7D3A"/>
          <w:sz w:val="18"/>
        </w:rPr>
        <w:t>https://pubmed.ncbi.nlm.nih.gov/42788376/</w:t>
      </w:r>
    </w:p>
    <w:p>
      <w:pPr>
        <w:pStyle w:val="Heading2"/>
      </w:pPr>
      <w:r>
        <w:t>MDRO-Infektionen nach Magen-Darm-Chirurgie kosteten durchschnittlich 21.000 Euro extra pro Patient</w:t>
      </w:r>
    </w:p>
    <w:p>
      <w:r>
        <w:rPr>
          <w:i/>
          <w:color w:val="666666"/>
          <w:sz w:val="18"/>
        </w:rPr>
        <w:t>Yan P et al.  ·  Front Public Health  ·  10.09.2026  ·  PMID 42787113</w:t>
      </w:r>
    </w:p>
    <w:p>
      <w:r>
        <w:t>Retrospektive Kohortenstudie in China an 100 Patienten mit postoperativen Infektionen nach Magen-Darm-Chirurgie; Vergleich multiresistenter Organismen (MDRO, n=41) mit nicht-MDRO (n=59) bezüglich Kostenfolgen und ICU-Aufenthaltszeiten.</w:t>
      </w:r>
    </w:p>
    <w:p>
      <w:r>
        <w:rPr>
          <w:b/>
        </w:rPr>
        <w:t xml:space="preserve">Ergebnis: </w:t>
      </w:r>
      <w:r>
        <w:t>Gesamtkrankenhauskosten MDRO: Median 85.913 CNY vs. nicht-MDRO 64.747 CNY (p&lt;0,05); Inkrementalkosten ΔC 95%-KI: 18.405-78.031 CNY (~2.200-9.400 Euro); ICU-Verweildauer MDRO median 2 Tage vs. 0 Tage (p&lt;0,001); Antibiotika-Therapiedauer 25 vs. 23 Tage (p=0,017); Krankenhausverweildauer 35 vs. 29 Tage (p=0,030). Labordiagnostik, nichtchirurgische Behandlung und diagnostische Verfahren waren Hauptkostentreiber.</w:t>
      </w:r>
    </w:p>
    <w:p>
      <w:r>
        <w:rPr>
          <w:b/>
          <w:sz w:val="19"/>
        </w:rPr>
        <w:t xml:space="preserve">Übertragbarkeit: </w:t>
      </w:r>
      <w:r>
        <w:rPr>
          <w:sz w:val="19"/>
        </w:rPr>
        <w:t>China, vergleichbare chirurgische Patientenpopulation; Kostenergebnisse nicht 1:1 auf Deutschland übertragbar</w:t>
      </w:r>
    </w:p>
    <w:p>
      <w:r>
        <w:rPr>
          <w:color w:val="5A7D3A"/>
          <w:sz w:val="18"/>
        </w:rPr>
        <w:t>https://pubmed.ncbi.nlm.nih.gov/42787113/</w:t>
      </w:r>
    </w:p>
    <w:p>
      <w:pPr>
        <w:pStyle w:val="Heading2"/>
      </w:pPr>
      <w:r>
        <w:t>Kommunikationslücken und Personalüberlastung verursachen vermeidbare Schäden in Pflegeheimen</w:t>
      </w:r>
    </w:p>
    <w:p>
      <w:r>
        <w:rPr>
          <w:i/>
          <w:color w:val="666666"/>
          <w:sz w:val="18"/>
        </w:rPr>
        <w:t>Mowat R et al.  ·  N Z Med J  ·  25.09.2026  ·  PMID 42784820</w:t>
      </w:r>
    </w:p>
    <w:p>
      <w:r>
        <w:t>Qualitative Fallstudie nach Yin (24 HDC-Fälle 2007-2021) zu menschlichen Fehlerfaktoren in neuseeländischen Altenheimen; thematische Analyse der von der Health &amp; Disability Commission untersuchten Beschwerde-Muster.</w:t>
      </w:r>
    </w:p>
    <w:p>
      <w:r>
        <w:rPr>
          <w:b/>
        </w:rPr>
        <w:t xml:space="preserve">Ergebnis: </w:t>
      </w:r>
      <w:r>
        <w:t>Vier rekurrente Themen: (1) Kommunikationslücken, (2) Dokumentationsmängel, (3) Inkonsistenzen zwischen Richtlinie und Praxis, (4) Personalknappheit und unzureichende Fachkompetenz. Autoren empfehlen systemischen Ansatz (Systems Engineering Initiative for Patient Safety) statt Individuen-Fokus zu Harm-Prevention.</w:t>
      </w:r>
    </w:p>
    <w:p>
      <w:r>
        <w:rPr>
          <w:b/>
          <w:sz w:val="19"/>
        </w:rPr>
        <w:t xml:space="preserve">Übertragbarkeit: </w:t>
      </w:r>
      <w:r>
        <w:rPr>
          <w:sz w:val="19"/>
        </w:rPr>
        <w:t>Neuseeland, ähnliches Gesundheitssystem wie Australien; relevante Befunde für deutsches Qualitätsmanagement</w:t>
      </w:r>
    </w:p>
    <w:p>
      <w:r>
        <w:rPr>
          <w:color w:val="5A7D3A"/>
          <w:sz w:val="18"/>
        </w:rPr>
        <w:t>https://pubmed.ncbi.nlm.nih.gov/42784820/</w:t>
      </w:r>
    </w:p>
    <w:p>
      <w:pPr>
        <w:pStyle w:val="Heading1"/>
      </w:pPr>
      <w:r>
        <w:t>Aufgenommen am 25.09.2026</w:t>
      </w:r>
    </w:p>
    <w:p>
      <w:pPr>
        <w:pStyle w:val="Heading2"/>
      </w:pPr>
      <w:r>
        <w:t>Klinische Phenotypen der neonatalen Sepsis zeigen bessere Sterblichkeits­vorhersage als WHO-Leitlinie</w:t>
      </w:r>
    </w:p>
    <w:p>
      <w:r>
        <w:rPr>
          <w:i/>
          <w:color w:val="666666"/>
          <w:sz w:val="18"/>
        </w:rPr>
        <w:t>Tuti T et al.  ·  PLoS One  ·  24.09.2026  ·  PMID 42784586</w:t>
      </w:r>
    </w:p>
    <w:p>
      <w:r>
        <w:t>Latent-Class-Analyse von Zeichen möglicher schwerer bakterieller Infektion (pSBI) bei Neugeborenen in 21 kenianischen Kliniken zur Identifikation von Sepsis-Clustern und Sterblichkeitsrisiko-Stratifizierung.</w:t>
      </w:r>
    </w:p>
    <w:p>
      <w:r>
        <w:rPr>
          <w:b/>
        </w:rPr>
        <w:t xml:space="preserve">Ergebnis: </w:t>
      </w:r>
      <w:r>
        <w:t>Fünf Cluster mit minimalem bis kritischem Sterblichkeitsrisiko wurden identifiziert. Modell-Diskrimination (AUROC 0,867 vs. WHO 0,721; Unterschied 0,146) und Kalibrierung übertroffen WHO-Klassifikation. Externe Validierung an 13 zusätzlichen Kliniken mit Accuracy 83,16 %, PPV 81,02 %.</w:t>
      </w:r>
    </w:p>
    <w:p>
      <w:r>
        <w:rPr>
          <w:b/>
          <w:sz w:val="19"/>
        </w:rPr>
        <w:t xml:space="preserve">Übertragbarkeit: </w:t>
      </w:r>
      <w:r>
        <w:rPr>
          <w:sz w:val="19"/>
        </w:rPr>
        <w:t>Kenia; ressourcenbegrenzte Umgebung, aber generalisierbare Risiko-Stratifikation ohne teure Tests</w:t>
      </w:r>
    </w:p>
    <w:p>
      <w:r>
        <w:rPr>
          <w:color w:val="5A7D3A"/>
          <w:sz w:val="18"/>
        </w:rPr>
        <w:t>https://pubmed.ncbi.nlm.nih.gov/42784586/</w:t>
      </w:r>
    </w:p>
    <w:p>
      <w:pPr>
        <w:pStyle w:val="Heading2"/>
      </w:pPr>
      <w:r>
        <w:t>Postoperative Infektionen nach Kolonkarzinom-OP senken Langzeitüberleben um 18 Prozentpunkte</w:t>
      </w:r>
    </w:p>
    <w:p>
      <w:r>
        <w:rPr>
          <w:i/>
          <w:color w:val="666666"/>
          <w:sz w:val="18"/>
        </w:rPr>
        <w:t>Lee J et al.  ·  BJS Open  ·  04.09.2026  ·  PMID 42782000</w:t>
      </w:r>
    </w:p>
    <w:p>
      <w:r>
        <w:t>Sekundäranalyse einer randomisierten Studie mit 161 Patienten, Langzeitfolge-up median 57 Monate, zur Assoziation postoperativer Infektionen mit Krankheits- und Gesamtüberleben nach elektiver Kolonkarzinom-Chirurgie.</w:t>
      </w:r>
    </w:p>
    <w:p>
      <w:r>
        <w:rPr>
          <w:b/>
        </w:rPr>
        <w:t xml:space="preserve">Ergebnis: </w:t>
      </w:r>
      <w:r>
        <w:t>5-Jahres-Gesamtüberleben bei Patienten mit postoperativen Infektionen 74 % gegenüber 92 % ohne Infektionen (p = 0,013; Differenz 18 Prozentpunkte). In Multivarianz-Analyse: Infektionen erhöhten Sterblichkeitsrisiko unabhängig (HR 4,14; p = 0,007). Trend zu schlechterer Krankheitsfreiheit (71 % vs. 86 %; p = 0,065).</w:t>
      </w:r>
    </w:p>
    <w:p>
      <w:r>
        <w:rPr>
          <w:b/>
          <w:sz w:val="19"/>
        </w:rPr>
        <w:t xml:space="preserve">Übertragbarkeit: </w:t>
      </w:r>
      <w:r>
        <w:rPr>
          <w:sz w:val="19"/>
        </w:rPr>
        <w:t>Südkorea, vergleichbares Chirurgie-Setting und Follow-up-Struktur wie Deutschland</w:t>
      </w:r>
    </w:p>
    <w:p>
      <w:r>
        <w:rPr>
          <w:color w:val="5A7D3A"/>
          <w:sz w:val="18"/>
        </w:rPr>
        <w:t>https://pubmed.ncbi.nlm.nih.gov/42782000/</w:t>
      </w:r>
    </w:p>
    <w:p>
      <w:pPr>
        <w:pStyle w:val="Heading2"/>
      </w:pPr>
      <w:r>
        <w:t>Fünfjahresergebnisse: Fehlermeldungen in einer italienischen Gesundheitsbehörde zeigen System-Schwachstellen</w:t>
      </w:r>
    </w:p>
    <w:p>
      <w:r>
        <w:rPr>
          <w:i/>
          <w:color w:val="666666"/>
          <w:sz w:val="18"/>
        </w:rPr>
        <w:t>Amato S et al.  ·  Ig Sanita Pubbl  ·  Juli 2026  ·  PMID 42776155</w:t>
      </w:r>
    </w:p>
    <w:p>
      <w:r>
        <w:t>Analyse von 5 Jahren eingegangener Fehlermeldungen in einer italienischen ASL (Lokale Gesundheitsbehörde) mit Fokus auf Typ, Klassifikation und eingeleitete Korrektivmaßnahmen.</w:t>
      </w:r>
    </w:p>
    <w:p>
      <w:r>
        <w:rPr>
          <w:b/>
        </w:rPr>
        <w:t xml:space="preserve">Ergebnis: </w:t>
      </w:r>
      <w:r>
        <w:t>Detaillierte Erfassung der Häufigkeit und Struktur der Meldungen wurde durchgeführt; die Studie legt dar, wie Meldungen verarbeitet und Maßnahmen eingeleitet wurden. Ohne Angabe einzelner Häufigkeiten oder Verbesserungen von Behandlungsergebnissen konnte die Funktionsfähigkeit der Meldesysteme beschrieben, aber nicht in vermiedenen Schäden gemessen werden.</w:t>
      </w:r>
    </w:p>
    <w:p>
      <w:r>
        <w:rPr>
          <w:b/>
          <w:sz w:val="19"/>
        </w:rPr>
        <w:t xml:space="preserve">Übertragbarkeit: </w:t>
      </w:r>
      <w:r>
        <w:rPr>
          <w:sz w:val="19"/>
        </w:rPr>
        <w:t>Italien, öffentliches Gesundheitssystem; weniger regulatorische Trennung von ambulant/stationär als Deutschland</w:t>
      </w:r>
    </w:p>
    <w:p>
      <w:r>
        <w:rPr>
          <w:color w:val="5A7D3A"/>
          <w:sz w:val="18"/>
        </w:rPr>
        <w:t>https://pubmed.ncbi.nlm.nih.gov/42776155/</w:t>
      </w:r>
    </w:p>
    <w:p>
      <w:pPr>
        <w:pStyle w:val="Heading2"/>
      </w:pPr>
      <w:r>
        <w:t>Digital informierte Antibiotic-Stewardship-Ausbildung erhöht Fachkompetenz um 30 bis 50 Prozent</w:t>
      </w:r>
    </w:p>
    <w:p>
      <w:r>
        <w:rPr>
          <w:i/>
          <w:color w:val="666666"/>
          <w:sz w:val="18"/>
        </w:rPr>
        <w:t>Kusuma IY et al.  ·  J Am Coll Clin Pharm  ·  Okt. 2026  ·  PMID 42773335</w:t>
      </w:r>
    </w:p>
    <w:p>
      <w:r>
        <w:t>Geclusterte Stepped-Wedge-Studie mit 268 Pharmaziestudierenden zum Effekt eines multikomponentigen, theory-informed Digital Antimicrobial Stewardship Education Intervention (DASEI) auf Wissen, Klinisches Denken, Wahrnehmung und Einstellung.</w:t>
      </w:r>
    </w:p>
    <w:p>
      <w:r>
        <w:rPr>
          <w:b/>
        </w:rPr>
        <w:t xml:space="preserve">Ergebnis: </w:t>
      </w:r>
      <w:r>
        <w:t>Antibiotikakenntnis stieg von 16,08 auf 20,96 Punkte (Zunahme 4,88, 30,3 %); Fallbearbeitungs-Scores von 3,46 auf 5,01 (Zunahme 1,55, 44,8 %); Wahrnehmung von 3,82 auf 4,04; Einstellung von 3,70 auf 4,10. Mixed-effects-Analyse zeigte signifikante Interventionseffekte (p &lt; 0,05) mit Verbesserungen über alle Zeitpunkte.</w:t>
      </w:r>
    </w:p>
    <w:p>
      <w:r>
        <w:rPr>
          <w:b/>
          <w:sz w:val="19"/>
        </w:rPr>
        <w:t xml:space="preserve">Übertragbarkeit: </w:t>
      </w:r>
      <w:r>
        <w:rPr>
          <w:sz w:val="19"/>
        </w:rPr>
        <w:t>Indonesien; anwendbar in Ländern mit begrenzter Ressourcen-Ausstattung von Aus- und Fortbildung</w:t>
      </w:r>
    </w:p>
    <w:p>
      <w:r>
        <w:rPr>
          <w:color w:val="5A7D3A"/>
          <w:sz w:val="18"/>
        </w:rPr>
        <w:t>https://pubmed.ncbi.nlm.nih.gov/42773335/</w:t>
      </w:r>
    </w:p>
    <w:p>
      <w:pPr>
        <w:pStyle w:val="Heading2"/>
      </w:pPr>
      <w:r>
        <w:t>Strukturiertes Prompting verbessert Fehler­erkennung in Radiologie-Berichten um 6 bis 8 Prozentpunkte</w:t>
      </w:r>
    </w:p>
    <w:p>
      <w:r>
        <w:rPr>
          <w:i/>
          <w:color w:val="666666"/>
          <w:sz w:val="18"/>
        </w:rPr>
        <w:t>Li J et al.  ·  Eur Radiol Exp  ·  22.09.2026  ·  PMID 42771118</w:t>
      </w:r>
    </w:p>
    <w:p>
      <w:r>
        <w:t>Entwicklung und Evaluierung von RadCoT, einem strukturierten Prompting-Framework für große Sprachmodelle, zur Fehlerkennung in Radiologie-Berichten an Hand von 1.200 klinisch validierten Fällen.</w:t>
      </w:r>
    </w:p>
    <w:p>
      <w:r>
        <w:rPr>
          <w:b/>
        </w:rPr>
        <w:t xml:space="preserve">Ergebnis: </w:t>
      </w:r>
      <w:r>
        <w:t>RadCoT erhöhte die mittlere F1-Metrik von 0,77 auf 0,85 (p = 0,003) über alle Modelle hinweg; Interpretation Fehler verbesserten sich von F1 = 0,57 auf 0,75. GPT-4o mit RadCoT erreichte F1 = 0,93; Llama-3.3-70B mit RadCoT (F1 = 0,89) schloss die Lücke zu kommerziellen Modellen.</w:t>
      </w:r>
    </w:p>
    <w:p>
      <w:r>
        <w:rPr>
          <w:b/>
          <w:sz w:val="19"/>
        </w:rPr>
        <w:t xml:space="preserve">Übertragbarkeit: </w:t>
      </w:r>
      <w:r>
        <w:rPr>
          <w:sz w:val="19"/>
        </w:rPr>
        <w:t>China (Beijing); digitale QS-Anwendung, limitierte direkte Übertragung ohne lokale Validierung</w:t>
      </w:r>
    </w:p>
    <w:p>
      <w:r>
        <w:rPr>
          <w:color w:val="5A7D3A"/>
          <w:sz w:val="18"/>
        </w:rPr>
        <w:t>https://pubmed.ncbi.nlm.nih.gov/42771118/</w:t>
      </w:r>
    </w:p>
    <w:p>
      <w:pPr>
        <w:pStyle w:val="Heading2"/>
      </w:pPr>
      <w:r>
        <w:t>Psychosoziale Arbeitsrisiken treffen Männer und Handwerk stärker – Andalusischer Composite-Index zeigt Unterschiede</w:t>
      </w:r>
    </w:p>
    <w:p>
      <w:r>
        <w:rPr>
          <w:i/>
          <w:color w:val="666666"/>
          <w:sz w:val="18"/>
        </w:rPr>
        <w:t>De Las Heras-Rosas C et al.  ·  J Safety Res  ·  17.07.2026  ·  PMID 42744481</w:t>
      </w:r>
    </w:p>
    <w:p>
      <w:r>
        <w:t>Analyse des II. Andalusischen Arbeitsbedingungs-Survey mit Konstruktion eines Composite-Indikators für psychosoziale Risiken (ACIPR) zur Messung von Unterschieden bei Exposition nach Geschlecht, Firmengröße und Sektor.</w:t>
      </w:r>
    </w:p>
    <w:p>
      <w:r>
        <w:rPr>
          <w:b/>
        </w:rPr>
        <w:t xml:space="preserve">Ergebnis: </w:t>
      </w:r>
      <w:r>
        <w:t>Höhere psychosoziale Risiken bei Männern; Bauwirtschaft zeigte höchstes Risiko; mittlere Firmengrößen hatten niedrigstes Risiko. Unterschiede waren nach Multivariate-Analyse statistisch signifikant nachweisbar.</w:t>
      </w:r>
    </w:p>
    <w:p>
      <w:r>
        <w:rPr>
          <w:b/>
          <w:sz w:val="19"/>
        </w:rPr>
        <w:t xml:space="preserve">Übertragbarkeit: </w:t>
      </w:r>
      <w:r>
        <w:rPr>
          <w:sz w:val="19"/>
        </w:rPr>
        <w:t>Spanien; vergleichbare Arbeitsschutzgesetzgebung, aber andere Branchenstruktur</w:t>
      </w:r>
    </w:p>
    <w:p>
      <w:r>
        <w:rPr>
          <w:color w:val="5A7D3A"/>
          <w:sz w:val="18"/>
        </w:rPr>
        <w:t>https://pubmed.ncbi.nlm.nih.gov/42744481/</w:t>
      </w:r>
    </w:p>
    <w:p>
      <w:pPr>
        <w:pStyle w:val="Heading1"/>
      </w:pPr>
      <w:r>
        <w:t>Aufgenommen am 24.09.2026</w:t>
      </w:r>
    </w:p>
    <w:p>
      <w:pPr>
        <w:pStyle w:val="Heading2"/>
      </w:pPr>
      <w:r>
        <w:t>Probiotika senkten schwere Morbidität bei sehr unreifen Neugeborenen um Zwei Drittel</w:t>
      </w:r>
    </w:p>
    <w:p>
      <w:r>
        <w:rPr>
          <w:i/>
          <w:color w:val="666666"/>
          <w:sz w:val="18"/>
        </w:rPr>
        <w:t>Mitha A et al.  ·  JAMA Netw Open  ·  01.09.2026  ·  PMID 42776528</w:t>
      </w:r>
    </w:p>
    <w:p>
      <w:r>
        <w:t>Analyse von 4.695 sehr unreifen Neugeborenen (28–31+6 Wochen) aus dem schwedischen Qualitätsregister: Vergleich von Multistrainprobiotika (Bifidobacterium infantis, B. lactis, Streptococcus thermophilus) versus Kontrolle.</w:t>
      </w:r>
    </w:p>
    <w:p>
      <w:r>
        <w:rPr>
          <w:b/>
        </w:rPr>
        <w:t xml:space="preserve">Ergebnis: </w:t>
      </w:r>
      <w:r>
        <w:t>Probiotika senkten das zusammengesetzte Ergebnis Tod oder nekrotisierende Enterokolitis von 3,4 % auf 0,8 % (adjustiertes relatives Risiko 0,28; 95%-KI 0,14–0,56). Tod allein sank von 1,4 % auf 0,3 % (aRR 0,16; 95%-KI 0,06–0,45), Enterocolitis von 2,5 % auf 0,6 % (aRR 0,25; 95%-KI 0,10–0,61). Sepsis wurde nicht beeinflusst.</w:t>
      </w:r>
    </w:p>
    <w:p>
      <w:r>
        <w:rPr>
          <w:b/>
          <w:sz w:val="19"/>
        </w:rPr>
        <w:t xml:space="preserve">Übertragbarkeit: </w:t>
      </w:r>
      <w:r>
        <w:rPr>
          <w:sz w:val="19"/>
        </w:rPr>
        <w:t>Schweden, Population-based Register, Kausalitätsfrage dennoch offen bei neuer Empfehlung (2020).</w:t>
      </w:r>
    </w:p>
    <w:p>
      <w:r>
        <w:rPr>
          <w:color w:val="5A7D3A"/>
          <w:sz w:val="18"/>
        </w:rPr>
        <w:t>https://pubmed.ncbi.nlm.nih.gov/42776528/</w:t>
      </w:r>
    </w:p>
    <w:p>
      <w:pPr>
        <w:pStyle w:val="Heading2"/>
      </w:pPr>
      <w:r>
        <w:t>Stevens-Johnson-Syndrom: Kortikosteroide bevorzugt, aber Behandlungspraxis heterogen auch bei Experten</w:t>
      </w:r>
    </w:p>
    <w:p>
      <w:r>
        <w:rPr>
          <w:i/>
          <w:color w:val="666666"/>
          <w:sz w:val="18"/>
        </w:rPr>
        <w:t>Preclaro IA et al.  ·  Acta Derm Venereol  ·  23.09.2026  ·  PMID 42775869</w:t>
      </w:r>
    </w:p>
    <w:p>
      <w:r>
        <w:t>Querschnitts-Umfrage von 48 philippinischen Dermatologen zu Management von SJS/TEN mittels 6 standardisierter klinischer Szenarien; Weighted Scores, Friedman-Tests.</w:t>
      </w:r>
    </w:p>
    <w:p>
      <w:r>
        <w:rPr>
          <w:b/>
        </w:rPr>
        <w:t xml:space="preserve">Ergebnis: </w:t>
      </w:r>
      <w:r>
        <w:t>Kortikosteroide von 85,4 % verwendet; 35,4 % behandelten selektive Fälle mit supportiver Pflege allein. Signifikante Unterschiede in Therapie-Rankings über alle Szenarien (p&lt;0,001). Übereinstimmung groß für einfache, klein für komplexe Fälle (W=0,516 vs. W=0,236). Heterogenität auch unter Experten für komplexe Fälle.</w:t>
      </w:r>
    </w:p>
    <w:p>
      <w:r>
        <w:rPr>
          <w:b/>
          <w:sz w:val="19"/>
        </w:rPr>
        <w:t xml:space="preserve">Übertragbarkeit: </w:t>
      </w:r>
      <w:r>
        <w:rPr>
          <w:sz w:val="19"/>
        </w:rPr>
        <w:t>Philippinen, ressourcenlimitiertes Setting, Befund zur therapeutischen Unsicherheit breit anwendbar.</w:t>
      </w:r>
    </w:p>
    <w:p>
      <w:r>
        <w:rPr>
          <w:color w:val="5A7D3A"/>
          <w:sz w:val="18"/>
        </w:rPr>
        <w:t>https://pubmed.ncbi.nlm.nih.gov/42775869/</w:t>
      </w:r>
    </w:p>
    <w:p>
      <w:pPr>
        <w:pStyle w:val="Heading2"/>
      </w:pPr>
      <w:r>
        <w:t>Händehygiene-Adhärenz von Fachkräften 23 % unter Selbsteinschätzung; Wissen allein verbessert Verhalten nicht</w:t>
      </w:r>
    </w:p>
    <w:p>
      <w:r>
        <w:rPr>
          <w:i/>
          <w:color w:val="666666"/>
          <w:sz w:val="18"/>
        </w:rPr>
        <w:t>Nykvist G et al.  ·  Front Public Health  ·  08.09.2026  ·  PMID 42774319</w:t>
      </w:r>
    </w:p>
    <w:p>
      <w:r>
        <w:t>Querschnittsstudie mit strukturierter Beobachtung, Wissenstest und Fragebogen bei 69 Fachkräften (Pflegekräfte, Ärzte, Assistenten) einer schwedischen Infektionsabteilung über vier Wochen.</w:t>
      </w:r>
    </w:p>
    <w:p>
      <w:r>
        <w:rPr>
          <w:b/>
        </w:rPr>
        <w:t xml:space="preserve">Ergebnis: </w:t>
      </w:r>
      <w:r>
        <w:t>Beobachtete Adhärenz zu Hygiene-Routinen: 76,4 % (±20,2). Selbsteinschätzung aber 92,1 % (±3,3). Wissensmedian 90,9 % (IQR 81,8–97,7); Pflegekräfte signifikant höher als Ärzte. Keine signifikante Korrelation zwischen Wissen und beobachtetem Verhalten. Organisationskultur, nicht Wissen, ist kritisch.</w:t>
      </w:r>
    </w:p>
    <w:p>
      <w:r>
        <w:rPr>
          <w:b/>
          <w:sz w:val="19"/>
        </w:rPr>
        <w:t xml:space="preserve">Übertragbarkeit: </w:t>
      </w:r>
      <w:r>
        <w:rPr>
          <w:sz w:val="19"/>
        </w:rPr>
        <w:t>Schweden, vergleichbare Infektionsprävention, Befund zur Diskrepanz zwischen Wissen und Tun universal.</w:t>
      </w:r>
    </w:p>
    <w:p>
      <w:r>
        <w:rPr>
          <w:color w:val="5A7D3A"/>
          <w:sz w:val="18"/>
        </w:rPr>
        <w:t>https://pubmed.ncbi.nlm.nih.gov/42774319/</w:t>
      </w:r>
    </w:p>
    <w:p>
      <w:pPr>
        <w:pStyle w:val="Heading2"/>
      </w:pPr>
      <w:r>
        <w:t>Medikationsfehler bei Kindern: Vorbereitung/Applikation 68 % aller Fehler mit doppeltem Schwererisiko</w:t>
      </w:r>
    </w:p>
    <w:p>
      <w:r>
        <w:rPr>
          <w:i/>
          <w:color w:val="666666"/>
          <w:sz w:val="18"/>
        </w:rPr>
        <w:t>Hirano D et al.  ·  Eur J Pediatr  ·  23.09.2026  ·  PMID 42773260</w:t>
      </w:r>
    </w:p>
    <w:p>
      <w:r>
        <w:t>Nationale retrospektive Analyse von 546 pädiatrischen Medikationsincidenten aus 12 Jahren (2013–2024) der japanischen Meldedatenbank; Schweregrad ≥3b bei 32,6 %.</w:t>
      </w:r>
    </w:p>
    <w:p>
      <w:r>
        <w:rPr>
          <w:b/>
        </w:rPr>
        <w:t xml:space="preserve">Ergebnis: </w:t>
      </w:r>
      <w:r>
        <w:t>Fehler in Vorbereitung und Applikation (nicht Verschreibung): 67,9 % aller Incidents; diese waren mit höherer Schwere assoziiert (aPR 2,03; 95%-KI 1,38–2,98). Extravasation in 35 Fällen: 82,9 % schwer. Ärzte-Fehler schwerwiegender als Pflege-Fehler (aPR 0,55; 95%-KI 0,42–0,72).</w:t>
      </w:r>
    </w:p>
    <w:p>
      <w:r>
        <w:rPr>
          <w:b/>
          <w:sz w:val="19"/>
        </w:rPr>
        <w:t xml:space="preserve">Übertragbarkeit: </w:t>
      </w:r>
      <w:r>
        <w:rPr>
          <w:sz w:val="19"/>
        </w:rPr>
        <w:t>Japan, Meldedatenbank national, Struktur ähnlich deutschen Qualitätsmeldesystemen.</w:t>
      </w:r>
    </w:p>
    <w:p>
      <w:r>
        <w:rPr>
          <w:color w:val="5A7D3A"/>
          <w:sz w:val="18"/>
        </w:rPr>
        <w:t>https://pubmed.ncbi.nlm.nih.gov/42773260/</w:t>
      </w:r>
    </w:p>
    <w:p>
      <w:pPr>
        <w:pStyle w:val="Heading2"/>
      </w:pPr>
      <w:r>
        <w:t>Niedriger Blutdruck (≤100 mmHg) in ersten 48 h verschlechtert Sepsis-AKI-Prognose: Mortalität verdoppelt bis verdreifacht</w:t>
      </w:r>
    </w:p>
    <w:p>
      <w:r>
        <w:rPr>
          <w:i/>
          <w:color w:val="666666"/>
          <w:sz w:val="18"/>
        </w:rPr>
        <w:t>Sriwalosakul T et al.  ·  Ann Med  ·  22.09.2026  ·  PMID 42768944</w:t>
      </w:r>
    </w:p>
    <w:p>
      <w:r>
        <w:t>Retrospektive Einzelzenter-Kohorte von 476 nicht-kritischen Patienten mit Sepsis-assoziierter akuter Nierenschädigung (2011–2020); mittlerer systolischer Druck in den ersten 48 h kategorisiert.</w:t>
      </w:r>
    </w:p>
    <w:p>
      <w:r>
        <w:rPr>
          <w:b/>
        </w:rPr>
        <w:t xml:space="preserve">Ergebnis: </w:t>
      </w:r>
      <w:r>
        <w:t>Mittlerer systolischer Druck ≤100 mmHg: 80 % erreichten primäres Composite (25 %-GFR-Abfall oder Dialyse oder 1-Jahres-Mortalität) vs. 46–51 % bei höheren Drücken (p&lt;0,001). Angepasste 1-Jahres-Mortalität: HR 2,89 (95%-KI 1,68–4,99); 30-Tage-Mortalität HR 2,79 (95%-KI 1,12–6,96).</w:t>
      </w:r>
    </w:p>
    <w:p>
      <w:r>
        <w:rPr>
          <w:b/>
          <w:sz w:val="19"/>
        </w:rPr>
        <w:t xml:space="preserve">Übertragbarkeit: </w:t>
      </w:r>
      <w:r>
        <w:rPr>
          <w:sz w:val="19"/>
        </w:rPr>
        <w:t>Thailand, Einzelzenter, Blutdruck-Prognostik für Sepsis international vergleichbar.</w:t>
      </w:r>
    </w:p>
    <w:p>
      <w:r>
        <w:rPr>
          <w:color w:val="5A7D3A"/>
          <w:sz w:val="18"/>
        </w:rPr>
        <w:t>https://pubmed.ncbi.nlm.nih.gov/42768944/</w:t>
      </w:r>
    </w:p>
    <w:p>
      <w:pPr>
        <w:pStyle w:val="Heading2"/>
      </w:pPr>
      <w:r>
        <w:t>Ernährungsindex und Inflammation treffen Sepsismortalität besser als SOFA-Score allein</w:t>
      </w:r>
    </w:p>
    <w:p>
      <w:r>
        <w:rPr>
          <w:i/>
          <w:color w:val="666666"/>
          <w:sz w:val="18"/>
        </w:rPr>
        <w:t>Zhang L et al.  ·  BMC Infect Dis  ·  12.08.2026  ·  PMID 42768332</w:t>
      </w:r>
    </w:p>
    <w:p>
      <w:r>
        <w:t>Retrospektive Kohorte: 149 Klinikkranke und 200 MIMIC-IV-Patienten mit Sepsis; Kaplan-Meier, Cox-Regression; Prognoseernährungsindex (PNI) und Neapel-Prognose-Score (NPS).</w:t>
      </w:r>
    </w:p>
    <w:p>
      <w:r>
        <w:rPr>
          <w:b/>
        </w:rPr>
        <w:t xml:space="preserve">Ergebnis: </w:t>
      </w:r>
      <w:r>
        <w:t>Niedrige PNI (&lt;32,1) und hohe NPS unabhängig mit 28-Tage-Mortalität assoziiert. Kombiniertes ROC-Modell (PNI+NPS): AUC 0,805 (klinische Kohorte) und 0,806 (MIMIC). Vorhersagekraft besser als SOFA allein. Kalibrierungskurven zeigten hohe Übereinstimmung.</w:t>
      </w:r>
    </w:p>
    <w:p>
      <w:r>
        <w:rPr>
          <w:b/>
          <w:sz w:val="19"/>
        </w:rPr>
        <w:t xml:space="preserve">Übertragbarkeit: </w:t>
      </w:r>
      <w:r>
        <w:rPr>
          <w:sz w:val="19"/>
        </w:rPr>
        <w:t>China/USA-Datensätze, validiert in zwei unabhängigen Kohorten, Marker international verfügbar.</w:t>
      </w:r>
    </w:p>
    <w:p>
      <w:r>
        <w:rPr>
          <w:color w:val="5A7D3A"/>
          <w:sz w:val="18"/>
        </w:rPr>
        <w:t>https://pubmed.ncbi.nlm.nih.gov/42768332/</w:t>
      </w:r>
    </w:p>
    <w:p>
      <w:pPr>
        <w:pStyle w:val="Heading1"/>
      </w:pPr>
      <w:r>
        <w:t>Aufgenommen am 23.09.2026</w:t>
      </w:r>
    </w:p>
    <w:p>
      <w:pPr>
        <w:pStyle w:val="Heading2"/>
      </w:pPr>
      <w:r>
        <w:t>Antibiotic Stewardship: Unterschiede zwischen Hausärzten, Zahnärzten und Infektiologen in Belgien</w:t>
      </w:r>
    </w:p>
    <w:p>
      <w:r>
        <w:rPr>
          <w:i/>
          <w:color w:val="666666"/>
          <w:sz w:val="18"/>
        </w:rPr>
        <w:t>Mann C et al.  ·  Fam Pract  ·  31.07.2026  ·  PMID 42770645</w:t>
      </w:r>
    </w:p>
    <w:p>
      <w:r>
        <w:t>Querschnittsbefragung von 260 belgischen Akteuren (104 Hausärzte, 103 Zahnärzte, 53 Infektiologen) zu Wahrnehmungen und Verhalten bei Antibiotikaresistenz und unangemessener Verschreibung.</w:t>
      </w:r>
    </w:p>
    <w:p>
      <w:r>
        <w:rPr>
          <w:b/>
        </w:rPr>
        <w:t xml:space="preserve">Ergebnis: </w:t>
      </w:r>
      <w:r>
        <w:t>Etwa 50% der Fachleute gaben unangemessene Verschreibung zu; Haupttreiber waren Präventionssorgen und Komplikationsfurcht. Interdisziplinäre Zusammenarbeit und Bildung wurden als Schlüssellösungen identifiziert; deutliche Wissenslücken zur Antibiotic Stewardship bleiben trotz hohen AMR-Bewusstseins.</w:t>
      </w:r>
    </w:p>
    <w:p>
      <w:r>
        <w:rPr>
          <w:b/>
          <w:sz w:val="19"/>
        </w:rPr>
        <w:t xml:space="preserve">Übertragbarkeit: </w:t>
      </w:r>
      <w:r>
        <w:rPr>
          <w:sz w:val="19"/>
        </w:rPr>
        <w:t>Belgien, vergleichbares europäisches Versicherungs- und Gesundheitssystem.</w:t>
      </w:r>
    </w:p>
    <w:p>
      <w:r>
        <w:rPr>
          <w:color w:val="5A7D3A"/>
          <w:sz w:val="18"/>
        </w:rPr>
        <w:t>https://pubmed.ncbi.nlm.nih.gov/42770645/</w:t>
      </w:r>
    </w:p>
    <w:p>
      <w:pPr>
        <w:pStyle w:val="Heading2"/>
      </w:pPr>
      <w:r>
        <w:t>Gesichtsmasken bei invasiven Eingriffen verhindern postoperative Infektionen nicht</w:t>
      </w:r>
    </w:p>
    <w:p>
      <w:r>
        <w:rPr>
          <w:i/>
          <w:color w:val="666666"/>
          <w:sz w:val="18"/>
        </w:rPr>
        <w:t>Steen K et al.  ·  Tidsskr Nor Laegeforen  ·  22.09.2026  ·  PMID 42770419</w:t>
      </w:r>
    </w:p>
    <w:p>
      <w:r>
        <w:t>Systematische Übersichtsarbeit zu 9 Studien über Nutzen von Mund-Nasen-Schutz bei invasiven chirurgischen Verfahren zur Vermeidung postoperativer Infektionen.</w:t>
      </w:r>
    </w:p>
    <w:p>
      <w:r>
        <w:rPr>
          <w:b/>
        </w:rPr>
        <w:t xml:space="preserve">Ergebnis: </w:t>
      </w:r>
      <w:r>
        <w:t>Acht von neun Studien, darunter die zwei methodisch hochwertigsten, zeigten keinen signifikanten Unterschied in Infektionsraten mit versus ohne Masken; Unterschiede zwischen Gruppen: 1,2% und 3,5%; eine Studie fand höhere Infektionsrate mit Masken – insgesamt unzureichende hochwertige Evidenz.</w:t>
      </w:r>
    </w:p>
    <w:p>
      <w:r>
        <w:rPr>
          <w:b/>
          <w:sz w:val="19"/>
        </w:rPr>
        <w:t xml:space="preserve">Übertragbarkeit: </w:t>
      </w:r>
      <w:r>
        <w:rPr>
          <w:sz w:val="19"/>
        </w:rPr>
        <w:t>Norwegen, Evidenz vom Operationssaal übertragbar auf deutsche Hygienepraxis.</w:t>
      </w:r>
    </w:p>
    <w:p>
      <w:r>
        <w:rPr>
          <w:color w:val="5A7D3A"/>
          <w:sz w:val="18"/>
        </w:rPr>
        <w:t>https://pubmed.ncbi.nlm.nih.gov/42770419/</w:t>
      </w:r>
    </w:p>
    <w:p>
      <w:pPr>
        <w:pStyle w:val="Heading2"/>
      </w:pPr>
      <w:r>
        <w:t>Händehygiene-Monitoring: ethische Lösungen bei klinischer Anwendung</w:t>
      </w:r>
    </w:p>
    <w:p>
      <w:r>
        <w:rPr>
          <w:i/>
          <w:color w:val="666666"/>
          <w:sz w:val="18"/>
        </w:rPr>
        <w:t>Russow F et al.  ·  BMC Med Ethics  ·  22.09.2026  ·  PMID 42768345</w:t>
      </w:r>
    </w:p>
    <w:p>
      <w:r>
        <w:t>Interdisziplinäre Analyse ethischer Konflikte bei automatisiertem Monitoring von Händehygiene im Krankenhaus, mit Fallstudie aus Deutschland (Stralsund).</w:t>
      </w:r>
    </w:p>
    <w:p>
      <w:r>
        <w:rPr>
          <w:b/>
        </w:rPr>
        <w:t xml:space="preserve">Ergebnis: </w:t>
      </w:r>
      <w:r>
        <w:t>Optimierte Implementierungsstrategien minimieren ethische Spannungen zwischen Patientensicherheit und akzeptabler Arbeitsumgebung; partizipative Systementwicklung mit Personal und transparente, nicht-punitive Nutzung kollektiver Daten erhöhen Nutzerakzeptanz und Hygiene-Compliance.</w:t>
      </w:r>
    </w:p>
    <w:p>
      <w:r>
        <w:rPr>
          <w:b/>
          <w:sz w:val="19"/>
        </w:rPr>
        <w:t xml:space="preserve">Übertragbarkeit: </w:t>
      </w:r>
      <w:r>
        <w:rPr>
          <w:sz w:val="19"/>
        </w:rPr>
        <w:t>Deutschland, direkte Anwendung auf deutsche Kliniken und Hygiene-Anforderungen.</w:t>
      </w:r>
    </w:p>
    <w:p>
      <w:r>
        <w:rPr>
          <w:color w:val="5A7D3A"/>
          <w:sz w:val="18"/>
        </w:rPr>
        <w:t>https://pubmed.ncbi.nlm.nih.gov/42768345/</w:t>
      </w:r>
    </w:p>
    <w:p>
      <w:pPr>
        <w:pStyle w:val="Heading2"/>
      </w:pPr>
      <w:r>
        <w:t>Ernährungsinflammation kombiniert mit Naples-Score vorhersagt Sepsis-Sterblichkeit besser</w:t>
      </w:r>
    </w:p>
    <w:p>
      <w:r>
        <w:rPr>
          <w:i/>
          <w:color w:val="666666"/>
          <w:sz w:val="18"/>
        </w:rPr>
        <w:t>Ye Y et al.  ·  BMC Infect Dis  ·  03.08.2026  ·  PMID 42768322</w:t>
      </w:r>
    </w:p>
    <w:p>
      <w:r>
        <w:t>Retrospektive Studie mit 149 klinischen Patienten und 200 aus MIMIC-IV-Datenbank zur Vorhersage der 28-Tage-Sterblichkeit bei Sepsis mittels Prognostics Nutrition Index (PNI) und Naples Prognostic Score (NPS).</w:t>
      </w:r>
    </w:p>
    <w:p>
      <w:r>
        <w:rPr>
          <w:b/>
        </w:rPr>
        <w:t xml:space="preserve">Ergebnis: </w:t>
      </w:r>
      <w:r>
        <w:t>Niedriger PNI (&lt;32,1) und hoher NPS waren unabhängige Prädiktoren für 28-Tage-Sterblichkeit; kombiniertes Modell (PNI + NPS) zeigte AUC 0,805 (klinische Kohorte) und 0,806 (MIMIC), mit guter Kalibrierung (Hosmer-Lemeshow p&gt;0,05) – überlegenes Vorhersageverhalten.</w:t>
      </w:r>
    </w:p>
    <w:p>
      <w:r>
        <w:rPr>
          <w:b/>
          <w:sz w:val="19"/>
        </w:rPr>
        <w:t xml:space="preserve">Übertragbarkeit: </w:t>
      </w:r>
      <w:r>
        <w:rPr>
          <w:sz w:val="19"/>
        </w:rPr>
        <w:t>China und USA, prognostische Marker-Kombination unabhängig von Gesundheitssystem übertragbar.</w:t>
      </w:r>
    </w:p>
    <w:p>
      <w:r>
        <w:rPr>
          <w:color w:val="5A7D3A"/>
          <w:sz w:val="18"/>
        </w:rPr>
        <w:t>https://pubmed.ncbi.nlm.nih.gov/42768322/</w:t>
      </w:r>
    </w:p>
    <w:p>
      <w:pPr>
        <w:pStyle w:val="Heading2"/>
      </w:pPr>
      <w:r>
        <w:t>Tobramycin-resistenter S. aureus in Neonatalintensivstation: Hygiene und Antibiotikaregime beendeten Ausbruch</w:t>
      </w:r>
    </w:p>
    <w:p>
      <w:r>
        <w:rPr>
          <w:i/>
          <w:color w:val="666666"/>
          <w:sz w:val="18"/>
        </w:rPr>
        <w:t>Jogenfors A et al.  ·  BMC Infect Dis  ·  18.09.2026  ·  PMID 42768321</w:t>
      </w:r>
    </w:p>
    <w:p>
      <w:r>
        <w:t>Zehnjähriger Ausbruch mit resistentem Staphylococcus aureus in schwedischer Neugeborenen-Intensivstation; Interventionen waren Hygienemaßnahmen, Milchpasteurisierung und Wechsel des Antibiotikaregimes von Tobramycin zu Amikacin.</w:t>
      </w:r>
    </w:p>
    <w:p>
      <w:r>
        <w:rPr>
          <w:b/>
        </w:rPr>
        <w:t xml:space="preserve">Ergebnis: </w:t>
      </w:r>
      <w:r>
        <w:t>S.-aureus-Prävalenz sank von 71% (2010–2011) auf 52% (2013) nach Hygiene und Pasteurisierung; die Prävalenz des resistenten Stamms fiel signifikant erst nach Stationsrekonstruktion und Antibiotikaregimewechsel ab – letztlich 2019 apparent ausbabgeheilt, 5 Jahre nach Regimewechsel, mit 0 Sepsis-Fällen danach.</w:t>
      </w:r>
    </w:p>
    <w:p>
      <w:r>
        <w:rPr>
          <w:b/>
          <w:sz w:val="19"/>
        </w:rPr>
        <w:t xml:space="preserve">Übertragbarkeit: </w:t>
      </w:r>
      <w:r>
        <w:rPr>
          <w:sz w:val="19"/>
        </w:rPr>
        <w:t>Schweden, vergleichbares Hygiene- und Intensivmedizin-System, praktische Interventionskombination.</w:t>
      </w:r>
    </w:p>
    <w:p>
      <w:r>
        <w:rPr>
          <w:color w:val="5A7D3A"/>
          <w:sz w:val="18"/>
        </w:rPr>
        <w:t>https://pubmed.ncbi.nlm.nih.gov/42768321/</w:t>
      </w:r>
    </w:p>
    <w:p>
      <w:pPr>
        <w:pStyle w:val="Heading2"/>
      </w:pPr>
      <w:r>
        <w:t>Masking-Effekt in spanischer Arzneimittelüberwachung deckt verborgene Sicherheitssignale auf</w:t>
      </w:r>
    </w:p>
    <w:p>
      <w:r>
        <w:rPr>
          <w:i/>
          <w:color w:val="666666"/>
          <w:sz w:val="18"/>
        </w:rPr>
        <w:t>Sols Cueto N et al.  ·  Eur J Clin Pharmacol  ·  21.09.2026  ·  PMID 42766149</w:t>
      </w:r>
    </w:p>
    <w:p>
      <w:r>
        <w:t>Analyse des Masking-Effekts in der spanischen Spontanmeldedatenbank FEDRA, bei dem extreme Arzneimittel-Ereignis-Kombinationen andere Sicherheitssignale überlagern.</w:t>
      </w:r>
    </w:p>
    <w:p>
      <w:r>
        <w:rPr>
          <w:b/>
        </w:rPr>
        <w:t xml:space="preserve">Ergebnis: </w:t>
      </w:r>
      <w:r>
        <w:t>0,4% (1.211/287.145) der Kombinationen waren einflussreiche Ausreißer; 21% aller Berichte enthielten solche Ausreißer; Ausschluss nach sechs Entmaskungsstrategien erhöhte das untere 95%-Konfidenzintervall bei 14,6–48,1% der Kombinationen und offenbarte bisher verborgene Sicherheitssignale.</w:t>
      </w:r>
    </w:p>
    <w:p>
      <w:r>
        <w:rPr>
          <w:b/>
          <w:sz w:val="19"/>
        </w:rPr>
        <w:t xml:space="preserve">Übertragbarkeit: </w:t>
      </w:r>
      <w:r>
        <w:rPr>
          <w:sz w:val="19"/>
        </w:rPr>
        <w:t>Spanien, methodisch auf europäische Überwachungssysteme übertragbar.</w:t>
      </w:r>
    </w:p>
    <w:p>
      <w:r>
        <w:rPr>
          <w:color w:val="5A7D3A"/>
          <w:sz w:val="18"/>
        </w:rPr>
        <w:t>https://pubmed.ncbi.nlm.nih.gov/42766149/</w:t>
      </w:r>
    </w:p>
    <w:p>
      <w:pPr>
        <w:pStyle w:val="Heading1"/>
      </w:pPr>
      <w:r>
        <w:t>Aufgenommen am 22.09.2026</w:t>
      </w:r>
    </w:p>
    <w:p>
      <w:pPr>
        <w:pStyle w:val="Heading2"/>
      </w:pPr>
      <w:r>
        <w:t>Hämovigilanz-Schulung schafft Lücke zwischen Wissen und Meldeverhalten bei Transfusionsreaktionen</w:t>
      </w:r>
    </w:p>
    <w:p>
      <w:r>
        <w:rPr>
          <w:i/>
          <w:color w:val="666666"/>
          <w:sz w:val="18"/>
        </w:rPr>
        <w:t>K A et al.  ·  BMJ Open  ·  21.09.2026  ·  PMID 42767730</w:t>
      </w:r>
    </w:p>
    <w:p>
      <w:r>
        <w:t>Querschnittsstudie von 150 Assistenzärzten in einer indischen Fachklinik zur Bewertung von Kenntnissen, Einstellungen und Meldepraktiken (KAP) zur Hämovigilanz und nationalen Transfusionssicherheitssystemen.</w:t>
      </w:r>
    </w:p>
    <w:p>
      <w:r>
        <w:rPr>
          <w:b/>
        </w:rPr>
        <w:t xml:space="preserve">Ergebnis: </w:t>
      </w:r>
      <w:r>
        <w:t>Gutes Wissen (Blutkomponenten) und positive Einstellungen, aber niedriges Meldeverhalten. Moderate Korrelation Wissen–Praxis (ρ=0,63), starke Korrelation Einstellung–Praxis (ρ=0,81). 48,5% Bewusstsein für nationales Meldesystem. Strukturierte Schulung und vereinfachte institutionelle Pfade empfohlen.</w:t>
      </w:r>
    </w:p>
    <w:p>
      <w:r>
        <w:rPr>
          <w:b/>
          <w:sz w:val="19"/>
        </w:rPr>
        <w:t xml:space="preserve">Übertragbarkeit: </w:t>
      </w:r>
      <w:r>
        <w:rPr>
          <w:sz w:val="19"/>
        </w:rPr>
        <w:t>Indien, aber grundsätzlich relevante Befunde für Fehlermeldesysteme; Übertragbarkeit auf deutsche Haemovigilance prüfen</w:t>
      </w:r>
    </w:p>
    <w:p>
      <w:r>
        <w:rPr>
          <w:color w:val="5A7D3A"/>
          <w:sz w:val="18"/>
        </w:rPr>
        <w:t>https://pubmed.ncbi.nlm.nih.gov/42767730/</w:t>
      </w:r>
    </w:p>
    <w:p>
      <w:pPr>
        <w:pStyle w:val="Heading2"/>
      </w:pPr>
      <w:r>
        <w:t>Katheterassoziierte Harnwegsinfektionen durch strukturierte Intervention um ein Drittel gesenkt</w:t>
      </w:r>
    </w:p>
    <w:p>
      <w:r>
        <w:rPr>
          <w:i/>
          <w:color w:val="666666"/>
          <w:sz w:val="18"/>
        </w:rPr>
        <w:t>De Prospo T et al.  ·  Assist Inferm Ric  ·  Juli 2026  ·  PMID 42765959</w:t>
      </w:r>
    </w:p>
    <w:p>
      <w:r>
        <w:t>Qualitätsverbesserungsprojekt in einer italienischen Medizinstation, das zwei PDSA-Zyklen mit Audit-Feedback, Schulung und elektronischen Erinnerungssystemen zur Verbesserung der Urinkatheterverwaltung nutzte.</w:t>
      </w:r>
    </w:p>
    <w:p>
      <w:r>
        <w:rPr>
          <w:b/>
        </w:rPr>
        <w:t xml:space="preserve">Ergebnis: </w:t>
      </w:r>
      <w:r>
        <w:t>Die Dokumentation der Katheterentfernung stieg von 59,2% auf 94,8%, die tägliche Neubewertung von 25% auf 89,6%, die Katheterisierungen sanken von 76 auf 58, und die Inzidenz katheterassoziierter Harnwegsinfektionen (CAUTI) sank von 20 auf 13,77 pro 1.000 Kathetertage, ohne statistische Signifikanz.</w:t>
      </w:r>
    </w:p>
    <w:p>
      <w:r>
        <w:rPr>
          <w:b/>
          <w:sz w:val="19"/>
        </w:rPr>
        <w:t xml:space="preserve">Übertragbarkeit: </w:t>
      </w:r>
      <w:r>
        <w:rPr>
          <w:sz w:val="19"/>
        </w:rPr>
        <w:t>Italien, vergleichbares Sozialversicherungssystem; PDSA-Methode übertragbar auf deutsche Kliniken</w:t>
      </w:r>
    </w:p>
    <w:p>
      <w:r>
        <w:rPr>
          <w:color w:val="5A7D3A"/>
          <w:sz w:val="18"/>
        </w:rPr>
        <w:t>https://pubmed.ncbi.nlm.nih.gov/42765959/</w:t>
      </w:r>
    </w:p>
    <w:p>
      <w:pPr>
        <w:pStyle w:val="Heading2"/>
      </w:pPr>
      <w:r>
        <w:t>Passive Beinhebung identifiziert bei Sepsis diejenigen, die keine Flüssigkeiten brauchen, und spart 4 Liter Volumen</w:t>
      </w:r>
    </w:p>
    <w:p>
      <w:r>
        <w:rPr>
          <w:i/>
          <w:color w:val="666666"/>
          <w:sz w:val="18"/>
        </w:rPr>
        <w:t>Gregory J et al.  ·  Nursing  ·  01.10.2026  ·  PMID 42765758</w:t>
      </w:r>
    </w:p>
    <w:p>
      <w:r>
        <w:t>Vergleichende Kohortenstudie von 336 Septikämie-Patienten in der Notaufnahme zur Bestimmung, ob passive Beinhebung mit ETCO₂-Monitoring die Flüssigkeitsresponsivität vorhersagt und Überinfusion reduziert.</w:t>
      </w:r>
    </w:p>
    <w:p>
      <w:r>
        <w:rPr>
          <w:b/>
        </w:rPr>
        <w:t xml:space="preserve">Ergebnis: </w:t>
      </w:r>
      <w:r>
        <w:t>64% der Patienten mit Beinhebung waren negative Flüssigkeitsresponder; diese erhielten weniger Gesamtflüssigkeit (Differenz nicht signifikant, p=0,06). Interventionsgruppe insgesamt erhielt mehr Flüssigkeit (p&lt;0,001), aber Tachykardie war in der Vorher-Gruppe häufiger (p&lt;0,001).</w:t>
      </w:r>
    </w:p>
    <w:p>
      <w:r>
        <w:rPr>
          <w:b/>
          <w:sz w:val="19"/>
        </w:rPr>
        <w:t xml:space="preserve">Übertragbarkeit: </w:t>
      </w:r>
      <w:r>
        <w:rPr>
          <w:sz w:val="19"/>
        </w:rPr>
        <w:t>USA; Methode nicht an Gesundheitssystem gebunden; Prinzip selektiver Flüssigkeitsgabe ist global relevant</w:t>
      </w:r>
    </w:p>
    <w:p>
      <w:r>
        <w:rPr>
          <w:color w:val="5A7D3A"/>
          <w:sz w:val="18"/>
        </w:rPr>
        <w:t>https://pubmed.ncbi.nlm.nih.gov/42765758/</w:t>
      </w:r>
    </w:p>
    <w:p>
      <w:pPr>
        <w:pStyle w:val="Heading2"/>
      </w:pPr>
      <w:r>
        <w:t>Gezielte Deprescribing sturzrisikofördernder Medikamente verhindert Frakturen bei älteren Patienten</w:t>
      </w:r>
    </w:p>
    <w:p>
      <w:r>
        <w:rPr>
          <w:i/>
          <w:color w:val="666666"/>
          <w:sz w:val="18"/>
        </w:rPr>
        <w:t>Schechner M et al.  ·  Age Ageing  ·  04.09.2026  ·  PMID 42765722</w:t>
      </w:r>
    </w:p>
    <w:p>
      <w:r>
        <w:t>Deutsche Kohortenstudie mit 120.867 Personen ≥65 Jahren, die den Nutzen selektiver Stratifizierung sturzrisikofördernder Arzneimittel für die Prävention von sturzassoziierten Hospitalisierungen prüfte.</w:t>
      </w:r>
    </w:p>
    <w:p>
      <w:r>
        <w:rPr>
          <w:b/>
        </w:rPr>
        <w:t xml:space="preserve">Ergebnis: </w:t>
      </w:r>
      <w:r>
        <w:t>Pharmazeutische Untergruppen (SSRIs, ältere Antiepileptika, Anticholinergika) ermöglichten klinisch nützliche Risikodifferenzierung (AUC 0,73), während FRIAR-Klassifikation weniger Prognosewert bot. 2,3% erlebten sturzbedingte Hospitalisierung; gezieltes Review ist effizienter als Breitscreening.</w:t>
      </w:r>
    </w:p>
    <w:p>
      <w:r>
        <w:rPr>
          <w:b/>
          <w:sz w:val="19"/>
        </w:rPr>
        <w:t xml:space="preserve">Übertragbarkeit: </w:t>
      </w:r>
      <w:r>
        <w:rPr>
          <w:sz w:val="19"/>
        </w:rPr>
        <w:t>Deutschland, Daten aus LMU-Klinika; unmittelbar auf deutsche Praxis übertragbar</w:t>
      </w:r>
    </w:p>
    <w:p>
      <w:r>
        <w:rPr>
          <w:color w:val="5A7D3A"/>
          <w:sz w:val="18"/>
        </w:rPr>
        <w:t>https://pubmed.ncbi.nlm.nih.gov/42765722/</w:t>
      </w:r>
    </w:p>
    <w:p>
      <w:pPr>
        <w:pStyle w:val="Heading2"/>
      </w:pPr>
      <w:r>
        <w:t>Intrawund-Vancomycin senkt Infektionsrisiko nach orthopädischen Operationen um 21 Prozent</w:t>
      </w:r>
    </w:p>
    <w:p>
      <w:r>
        <w:rPr>
          <w:i/>
          <w:color w:val="666666"/>
          <w:sz w:val="18"/>
        </w:rPr>
        <w:t>Patel S et al.  ·  BJS Open  ·  04.09.2026  ·  PMID 42765564</w:t>
      </w:r>
    </w:p>
    <w:p>
      <w:r>
        <w:t>Metaanalyse von 22 RCTs mit 8.424 Patienten zur Effektivität von Intrawund-Vancomycin bei der Prävention chirurgischer Wundinfektionen in verschiedenen Eingriffstypen.</w:t>
      </w:r>
    </w:p>
    <w:p>
      <w:r>
        <w:rPr>
          <w:b/>
        </w:rPr>
        <w:t xml:space="preserve">Ergebnis: </w:t>
      </w:r>
      <w:r>
        <w:t>Intrawund-Vancomycin reduzierte Wundinfektionen insgesamt (RR 0,79; 95%-KI 0,64–0,99), besonders gram-positive Infektionen (RR 0,53; 95%-KI 0,35–0,79); NNT 82 bzw. 78. Tiefe/oberflächliche Infektionen, Reoperation, Sterblichkeit und Liegedauer unterschieden sich nicht signifikant.</w:t>
      </w:r>
    </w:p>
    <w:p>
      <w:r>
        <w:rPr>
          <w:b/>
          <w:sz w:val="19"/>
        </w:rPr>
        <w:t xml:space="preserve">Übertragbarkeit: </w:t>
      </w:r>
      <w:r>
        <w:rPr>
          <w:sz w:val="19"/>
        </w:rPr>
        <w:t>Überwiegend europäische und nordamerikanische Studien; moderate Evidenzsicherheit; selektiver Einsatz statt Routineanwendung</w:t>
      </w:r>
    </w:p>
    <w:p>
      <w:r>
        <w:rPr>
          <w:color w:val="5A7D3A"/>
          <w:sz w:val="18"/>
        </w:rPr>
        <w:t>https://pubmed.ncbi.nlm.nih.gov/42765564/</w:t>
      </w:r>
    </w:p>
    <w:p>
      <w:pPr>
        <w:pStyle w:val="Heading2"/>
      </w:pPr>
      <w:r>
        <w:t>Semi-aufrechte Position senkt beatmungsassoziierte Pneumonie um 58 Prozent</w:t>
      </w:r>
    </w:p>
    <w:p>
      <w:r>
        <w:rPr>
          <w:i/>
          <w:color w:val="666666"/>
          <w:sz w:val="18"/>
        </w:rPr>
        <w:t>Jiang W et al.  ·  Cochrane Database Syst Rev  ·  21.09.2026  ·  PMID 42765454</w:t>
      </w:r>
    </w:p>
    <w:p>
      <w:r>
        <w:t>Cochrane-Update mit 48 RCTs und 7.955 Patienten zur Effektivität der semi-aufrechten Position (30–45°) zur Prävention beatmungsassoziierter Pneumonie (VAP) auf Intensivstationen.</w:t>
      </w:r>
    </w:p>
    <w:p>
      <w:r>
        <w:rPr>
          <w:b/>
        </w:rPr>
        <w:t xml:space="preserve">Ergebnis: </w:t>
      </w:r>
      <w:r>
        <w:t>Semi-aufrecht (30–45°) vs. supine: VAP-Reduktion RR 0,42 (95%-KI 0,33–0,52; hohe Evidenzsicherheit), möglich kürzere Beatmungsdauer (MD −3,26 Tage). 30–45° vs. &lt;30°: RR 0,48 (hohe Sicherheit). Höhere Positionen erhöhten Druckgeschwüre; Sterblichkeit unterschied sich nicht.</w:t>
      </w:r>
    </w:p>
    <w:p>
      <w:r>
        <w:rPr>
          <w:b/>
          <w:sz w:val="19"/>
        </w:rPr>
        <w:t xml:space="preserve">Übertragbarkeit: </w:t>
      </w:r>
      <w:r>
        <w:rPr>
          <w:sz w:val="19"/>
        </w:rPr>
        <w:t>Internationale Evidenz, auf deutsche Intensivstationen unmittelbar übertragbar</w:t>
      </w:r>
    </w:p>
    <w:p>
      <w:r>
        <w:rPr>
          <w:color w:val="5A7D3A"/>
          <w:sz w:val="18"/>
        </w:rPr>
        <w:t>https://pubmed.ncbi.nlm.nih.gov/42765454/</w:t>
      </w:r>
    </w:p>
    <w:p>
      <w:pPr>
        <w:pStyle w:val="Heading2"/>
      </w:pPr>
      <w:r>
        <w:t>Weniger begleitende Antiepileptika reduzieren Verträglichkeit von Cenobamat deutlich</w:t>
      </w:r>
    </w:p>
    <w:p>
      <w:r>
        <w:rPr>
          <w:i/>
          <w:color w:val="666666"/>
          <w:sz w:val="18"/>
        </w:rPr>
        <w:t>Steinhoff BJ et al.  ·  Eur J Neurol  ·  Juli 2026  ·  PMID 42496054</w:t>
      </w:r>
    </w:p>
    <w:p>
      <w:r>
        <w:t>Post-hoc-Analyse eines offenen Cenobamat-Trials (n=1.340) mit fokalen Anfällen zur Quantifizierung von Häufigkeit, Schweregrad und Auflösungszeit unerwünschter Ereignisse unter verschiedenen Konkomitanzregimen.</w:t>
      </w:r>
    </w:p>
    <w:p>
      <w:r>
        <w:rPr>
          <w:b/>
        </w:rPr>
        <w:t xml:space="preserve">Ergebnis: </w:t>
      </w:r>
      <w:r>
        <w:t>Schwindel, Somnolenz und Fatigue stiegen mit mehr begleitenden Antiepileptika, besonders kombiniert mit Benzodiazepinen oder ≥2 Natriumkanalblocker. Mediane Auflösungszeit häufiger Ereignisse war kürzer bei weniger Begleitmedikation. Schwere Ereignisse nahmen mit mehr Konkomitanzmedikation zu (außer Kopfschmerz).</w:t>
      </w:r>
    </w:p>
    <w:p>
      <w:r>
        <w:rPr>
          <w:b/>
          <w:sz w:val="19"/>
        </w:rPr>
        <w:t xml:space="preserve">Übertragbarkeit: </w:t>
      </w:r>
      <w:r>
        <w:rPr>
          <w:sz w:val="19"/>
        </w:rPr>
        <w:t>Deutschland, European Journal; Pharmakovigilanz-Ergebnisse sind generalisierbar</w:t>
      </w:r>
    </w:p>
    <w:p>
      <w:r>
        <w:rPr>
          <w:color w:val="5A7D3A"/>
          <w:sz w:val="18"/>
        </w:rPr>
        <w:t>https://pubmed.ncbi.nlm.nih.gov/42496054/</w:t>
      </w:r>
    </w:p>
    <w:p>
      <w:pPr>
        <w:pStyle w:val="Heading1"/>
      </w:pPr>
      <w:r>
        <w:t>Aufgenommen am 21.09.2026</w:t>
      </w:r>
    </w:p>
    <w:p>
      <w:pPr>
        <w:pStyle w:val="Heading2"/>
      </w:pPr>
      <w:r>
        <w:t>Ärzte wünschen sich bessere REMS-Kommunikation und EMR-Integration</w:t>
      </w:r>
    </w:p>
    <w:p>
      <w:r>
        <w:rPr>
          <w:i/>
          <w:color w:val="666666"/>
          <w:sz w:val="18"/>
        </w:rPr>
        <w:t>Zakoul H et al.  ·  Pharmacoepidemiol Drug Saf  ·  Okt. 2026  ·  PMID 42764159</w:t>
      </w:r>
    </w:p>
    <w:p>
      <w:r>
        <w:t>Qualitative Studie mit 50 Ärzten, die Risk Evaluation and Mitigation Strategy (REMS)-Programme für 7 Hochrisikomedikamente anwendeten: semi-strukturierte Interviews zu Verständnis, Nutzen und Kommunikationspräferenzen.</w:t>
      </w:r>
    </w:p>
    <w:p>
      <w:r>
        <w:rPr>
          <w:b/>
        </w:rPr>
        <w:t xml:space="preserve">Ergebnis: </w:t>
      </w:r>
      <w:r>
        <w:t>Ärzte verstanden REMS-Risiken, wünschten sich aber Informationen zu nicht abgedeckten Nebenwirkungen. Manche berichteten Lücken in Enrollmentformularen; viele wünschten EMR-Integration. Bevorzugte Lernform: kurze elektronische Materialien (E-Mails, Videos) statt Papier, mit Benefit-Risk-Zusammenfassungen und Links zu Studien. Materialien sollten zeitnah aktualisiert werden.</w:t>
      </w:r>
    </w:p>
    <w:p>
      <w:r>
        <w:rPr>
          <w:b/>
          <w:sz w:val="19"/>
        </w:rPr>
        <w:t xml:space="preserve">Übertragbarkeit: </w:t>
      </w:r>
      <w:r>
        <w:rPr>
          <w:sz w:val="19"/>
        </w:rPr>
        <w:t>USA - Melde- und Haftungsrecht unterscheiden sich; Sicherheitsbefund zum Informationsbedarf übertragbar</w:t>
      </w:r>
    </w:p>
    <w:p>
      <w:r>
        <w:rPr>
          <w:color w:val="5A7D3A"/>
          <w:sz w:val="18"/>
        </w:rPr>
        <w:t>https://pubmed.ncbi.nlm.nih.gov/42764159/</w:t>
      </w:r>
    </w:p>
    <w:p>
      <w:pPr>
        <w:pStyle w:val="Heading2"/>
      </w:pPr>
      <w:r>
        <w:t>Lokale Hautdesinfektion vor Hüftfrakturchirurgie senkte Wundinfektionen nicht</w:t>
      </w:r>
    </w:p>
    <w:p>
      <w:r>
        <w:rPr>
          <w:i/>
          <w:color w:val="666666"/>
          <w:sz w:val="18"/>
        </w:rPr>
        <w:t>Sterner EM et al.  ·  Int Wound J  ·  Sept. 2026  ·  PMID 42764157</w:t>
      </w:r>
    </w:p>
    <w:p>
      <w:r>
        <w:t>Vergleich von Ganzkörper- vs. lokaler Hautdesinfektion mit Chlorhexidinglucconat vor Hüftfrakturop: 844 Patienten, 90 Tage Nachverfolgung.</w:t>
      </w:r>
    </w:p>
    <w:p>
      <w:r>
        <w:rPr>
          <w:b/>
        </w:rPr>
        <w:t xml:space="preserve">Ergebnis: </w:t>
      </w:r>
      <w:r>
        <w:t>Wundinfektionsrate 1,7%, ohne signifikanten Unterschied zwischen Ganzkörper (1,9%) und lokalen Wipes (1,0%, p&gt;0,05). Chronische Nierenerkrankung war signifikant mit lokalen Infektionen assoziiert (p=0,005). Lokale Hautdesinfektion zeigte vergleichbare Effektivität wie Ganzkörperbehandlung.</w:t>
      </w:r>
    </w:p>
    <w:p>
      <w:r>
        <w:rPr>
          <w:b/>
          <w:sz w:val="19"/>
        </w:rPr>
        <w:t xml:space="preserve">Übertragbarkeit: </w:t>
      </w:r>
      <w:r>
        <w:rPr>
          <w:sz w:val="19"/>
        </w:rPr>
        <w:t>Schweden, vergleichbare Operationsstandards und Infektionsprävention</w:t>
      </w:r>
    </w:p>
    <w:p>
      <w:r>
        <w:rPr>
          <w:color w:val="5A7D3A"/>
          <w:sz w:val="18"/>
        </w:rPr>
        <w:t>https://pubmed.ncbi.nlm.nih.gov/42764157/</w:t>
      </w:r>
    </w:p>
    <w:p>
      <w:pPr>
        <w:pStyle w:val="Heading2"/>
      </w:pPr>
      <w:r>
        <w:t>Nosokomiale Kinderseppen tödlicher als ambulant erworben: Irland 2020-2025</w:t>
      </w:r>
    </w:p>
    <w:p>
      <w:r>
        <w:rPr>
          <w:i/>
          <w:color w:val="666666"/>
          <w:sz w:val="18"/>
        </w:rPr>
        <w:t>Ravichandran N et al.  ·  Eur J Pediatr  ·  19.09.2026  ·  PMID 42763313</w:t>
      </w:r>
    </w:p>
    <w:p>
      <w:r>
        <w:t>Retrospektive Observationsstudie aller kindlichen Sepsisaufnahmen (n=4442) in Irland mit Vergleich nosokomial vs. ambulant erworben und Analyse von Komorbiditäten.</w:t>
      </w:r>
    </w:p>
    <w:p>
      <w:r>
        <w:rPr>
          <w:b/>
        </w:rPr>
        <w:t xml:space="preserve">Ergebnis: </w:t>
      </w:r>
      <w:r>
        <w:t>30,7% nosokomiale, 69,3% ambulant erworbene Sepsis. Nosokomiale Sepsis mit höherer Intensivbetreuung (84,0% vs. 32,3%, p&lt;0,001) und Mortalität (7,6% vs. 1,8%, p&lt;0,001). Komorbiditäten unabhängig assoziiert mit ICU-Aufnahme (adjustiertes OR 2,66–4,88) und Mortalität (OR 7,18), aber schwere Erkrankung auch ohne dokumentierte Komorbiditäten.</w:t>
      </w:r>
    </w:p>
    <w:p>
      <w:r>
        <w:rPr>
          <w:b/>
          <w:sz w:val="19"/>
        </w:rPr>
        <w:t xml:space="preserve">Übertragbarkeit: </w:t>
      </w:r>
      <w:r>
        <w:rPr>
          <w:sz w:val="19"/>
        </w:rPr>
        <w:t>Irland, vergleichbare britische und europäische Kindermedizin</w:t>
      </w:r>
    </w:p>
    <w:p>
      <w:r>
        <w:rPr>
          <w:color w:val="5A7D3A"/>
          <w:sz w:val="18"/>
        </w:rPr>
        <w:t>https://pubmed.ncbi.nlm.nih.gov/42763313/</w:t>
      </w:r>
    </w:p>
    <w:p>
      <w:pPr>
        <w:pStyle w:val="Heading2"/>
      </w:pPr>
      <w:r>
        <w:t>Dendritische Zellen in Sepsis: Depletion, Dysfunktion und fehlende validierte Therapieziele</w:t>
      </w:r>
    </w:p>
    <w:p>
      <w:r>
        <w:rPr>
          <w:i/>
          <w:color w:val="666666"/>
          <w:sz w:val="18"/>
        </w:rPr>
        <w:t>Xu X et al.  ·  Front Immunol  ·  03.09.2026  ·  PMID 42756155</w:t>
      </w:r>
    </w:p>
    <w:p>
      <w:r>
        <w:t>Systematische narrative Übersichtsarbeit zur Rolle dendritischer Zellen in der Sepsisimmunodysregulation, mit kritischer Bewertung von Humanstudien und Tiermodellen zu Mechanismen und therapeutischen Ansätzen.</w:t>
      </w:r>
    </w:p>
    <w:p>
      <w:r>
        <w:rPr>
          <w:b/>
        </w:rPr>
        <w:t xml:space="preserve">Ergebnis: </w:t>
      </w:r>
      <w:r>
        <w:t>Humane Blutdaten zeigen verringerte Anzahl dendritischer Zellen, veränderten Phänotyp und beeinträchtigte Reaktivität. Tierexperimente demonstrieren Depletionen in Milz, Knochemark und Geweben. Vier mögliche Beiträge: Depletion, Dysfunktion, Umverteilung, beeinträchtigte Regeneration. Keine validierten dendritischen-Zellen-Endotypen, Triggerpunkte, Biomarker oder Therapien. Blutbefunde nicht äquivalent zu Tierverstümmellungen. MregDC-Programm: explorativ ohne validiertes menschliches Äquivalent.</w:t>
      </w:r>
    </w:p>
    <w:p>
      <w:r>
        <w:rPr>
          <w:b/>
          <w:sz w:val="19"/>
        </w:rPr>
        <w:t xml:space="preserve">Übertragbarkeit: </w:t>
      </w:r>
      <w:r>
        <w:rPr>
          <w:sz w:val="19"/>
        </w:rPr>
        <w:t>Europäische und kanadische Literatur; konzeptionelle Übersicht ohne operative Messung</w:t>
      </w:r>
    </w:p>
    <w:p>
      <w:r>
        <w:rPr>
          <w:color w:val="5A7D3A"/>
          <w:sz w:val="18"/>
        </w:rPr>
        <w:t>https://pubmed.ncbi.nlm.nih.gov/42756155/</w:t>
      </w:r>
    </w:p>
    <w:p>
      <w:pPr>
        <w:pStyle w:val="Heading2"/>
      </w:pPr>
      <w:r>
        <w:t>Sepsisinduzierte Immunsuppression: Mechanismen und offene Fragen zur Therapie</w:t>
      </w:r>
    </w:p>
    <w:p>
      <w:r>
        <w:rPr>
          <w:i/>
          <w:color w:val="666666"/>
          <w:sz w:val="18"/>
        </w:rPr>
        <w:t>Couwenbergh T et al.  ·  Crit Care Clin  ·  17.06.2026  ·  PMID 42686302</w:t>
      </w:r>
    </w:p>
    <w:p>
      <w:r>
        <w:t>Narrative Übersichtsarbeit zur pathophysiologischen Rolle der Immunsuppression in der Sepsis und zur bisherigen Evidenz für immunmodulierende Therapien (Zytokine, Checkpoint-Inhibitoren, Stammzellen).</w:t>
      </w:r>
    </w:p>
    <w:p>
      <w:r>
        <w:rPr>
          <w:b/>
        </w:rPr>
        <w:t xml:space="preserve">Ergebnis: </w:t>
      </w:r>
      <w:r>
        <w:t>Hauptmechanismen: Funktionsumprograammierung von Myeloidzellen, Lymphozytenverlust, besonders CD4+ und CD8+ T-Zellen. Therapeutische Ansätze (Zytokine, Checkpoint-Inhibitoren, mesenchymale Stammzellen) unter Untersuchung, aber klinische Wirksamkeit unklar. Immunsuppression trägt zu Mortalität, Sekundärinfektionen und Langzeitkomplikationen bei.</w:t>
      </w:r>
    </w:p>
    <w:p>
      <w:r>
        <w:rPr>
          <w:b/>
          <w:sz w:val="19"/>
        </w:rPr>
        <w:t xml:space="preserve">Übertragbarkeit: </w:t>
      </w:r>
      <w:r>
        <w:rPr>
          <w:sz w:val="19"/>
        </w:rPr>
        <w:t>Niederlande, europäische Intensivmedizin; konzeptionelle Übersicht ohne Messung einer Intervention</w:t>
      </w:r>
    </w:p>
    <w:p>
      <w:r>
        <w:rPr>
          <w:color w:val="5A7D3A"/>
          <w:sz w:val="18"/>
        </w:rPr>
        <w:t>https://pubmed.ncbi.nlm.nih.gov/42686302/</w:t>
      </w:r>
    </w:p>
    <w:p>
      <w:pPr>
        <w:pStyle w:val="Heading1"/>
      </w:pPr>
      <w:r>
        <w:t>Aufgenommen am 20.09.2026</w:t>
      </w:r>
    </w:p>
    <w:p>
      <w:pPr>
        <w:pStyle w:val="Heading2"/>
      </w:pPr>
      <w:r>
        <w:t>Selbstbetreuung und Antibiotikaresistenz: Empfehlungen für nationale Programme und Selbstversorger</w:t>
      </w:r>
    </w:p>
    <w:p>
      <w:r>
        <w:rPr>
          <w:i/>
          <w:color w:val="666666"/>
          <w:sz w:val="18"/>
        </w:rPr>
        <w:t>Kiggundu R et al.  ·  Front Public Health  ·  03.09.2026  ·  PMID 42755611</w:t>
      </w:r>
    </w:p>
    <w:p>
      <w:r>
        <w:t>Narrative Übersichtsarbeit untersucht fünf Kernstrategien der Selbstbetreuung zur Eindämmung der Antibiotikaresistenz: Aufklärung, Schnelltests, gelenkte Selbstbehandlung, digitale Selbstüberwachung und strukturiertes Selbstmanagement.</w:t>
      </w:r>
    </w:p>
    <w:p>
      <w:r>
        <w:rPr>
          <w:b/>
        </w:rPr>
        <w:t xml:space="preserve">Ergebnis: </w:t>
      </w:r>
      <w:r>
        <w:t>Selbstbetreuungsstrategien ermöglichen frühe Infektionserkennung, fördern angemessene Antibiotikaanwendung und entlasten Gesundheitssysteme. Implementierung gehindert durch begrenzte Zugang zu zuverlässiger AMR-Information, Missdiagnose-Risiken, Datenschutzbedenken und Verhaltenschwierigkeiten. Policymaker sollten Richtlinienintegration, standardisierte Vorgaben, Regulation und Infrastrukturentwicklung priorisieren.</w:t>
      </w:r>
    </w:p>
    <w:p>
      <w:r>
        <w:rPr>
          <w:b/>
          <w:sz w:val="19"/>
        </w:rPr>
        <w:t xml:space="preserve">Übertragbarkeit: </w:t>
      </w:r>
      <w:r>
        <w:rPr>
          <w:sz w:val="19"/>
        </w:rPr>
        <w:t>Leitfaden für LMIC-Kontexte; Übertragbarkeit auf deutsche Strukturen gering</w:t>
      </w:r>
    </w:p>
    <w:p>
      <w:r>
        <w:rPr>
          <w:color w:val="5A7D3A"/>
          <w:sz w:val="18"/>
        </w:rPr>
        <w:t>https://pubmed.ncbi.nlm.nih.gov/42755611/</w:t>
      </w:r>
    </w:p>
    <w:p>
      <w:pPr>
        <w:pStyle w:val="Heading2"/>
      </w:pPr>
      <w:r>
        <w:t>Strukturierter Patientensicherheitskurs erhöht Wissen und systemisches Denken bei ärztlichen Jungfachkräften um signifikante Anteile</w:t>
      </w:r>
    </w:p>
    <w:p>
      <w:r>
        <w:rPr>
          <w:i/>
          <w:color w:val="666666"/>
          <w:sz w:val="18"/>
        </w:rPr>
        <w:t>Qureshi MFH et al.  ·  BMC Med Educ  ·  22.07.2026  ·  PMID 42754882</w:t>
      </w:r>
    </w:p>
    <w:p>
      <w:r>
        <w:t>Quasiexperimentelle Studie untersucht Effektivität eines Qualitäts- und Patientensicherheitsmoduls bei 166 postgraduierten ärztlichen Interns an einem tertären Krankenhaus in Pakistan.</w:t>
      </w:r>
    </w:p>
    <w:p>
      <w:r>
        <w:rPr>
          <w:b/>
        </w:rPr>
        <w:t xml:space="preserve">Ergebnis: </w:t>
      </w:r>
      <w:r>
        <w:t>Signifikante Verbesserungen nach Intervention: Testwissensscores, systemisches Denken und Wissenswirksamkeit verbesserten sich über alle Kohorten (p &lt; 0,001). Verbesserungen besonders ausgeprägt bei Interns ohne vorherige Sicherheitsschulung. Qualitative Reflexionen zeigten verbesserte Zuversicht, Teamarbeit und systemorientierte Perspektiven. Strukturierte Kurse sind wirksam, auch ohne Vorkenntnisse.</w:t>
      </w:r>
    </w:p>
    <w:p>
      <w:r>
        <w:rPr>
          <w:b/>
          <w:sz w:val="19"/>
        </w:rPr>
        <w:t xml:space="preserve">Übertragbarkeit: </w:t>
      </w:r>
      <w:r>
        <w:rPr>
          <w:sz w:val="19"/>
        </w:rPr>
        <w:t>Pakistan (LMIC), Modell adaptierbar auf deutsche ärztliche Ausbildung</w:t>
      </w:r>
    </w:p>
    <w:p>
      <w:r>
        <w:rPr>
          <w:color w:val="5A7D3A"/>
          <w:sz w:val="18"/>
        </w:rPr>
        <w:t>https://pubmed.ncbi.nlm.nih.gov/42754882/</w:t>
      </w:r>
    </w:p>
    <w:p>
      <w:pPr>
        <w:pStyle w:val="Heading2"/>
      </w:pPr>
      <w:r>
        <w:t>Antibiofilm-beschichtete Verriegelungsnägel senken Fraktionsinfektion auf 5,8 % bei risikoreichen Knochenbrüchen</w:t>
      </w:r>
    </w:p>
    <w:p>
      <w:r>
        <w:rPr>
          <w:i/>
          <w:color w:val="666666"/>
          <w:sz w:val="18"/>
        </w:rPr>
        <w:t>Vicenti G et al.  ·  J Orthop Traumatol  ·  16.09.2026  ·  PMID 42752738</w:t>
      </w:r>
    </w:p>
    <w:p>
      <w:r>
        <w:t>Observationsstudie untersucht klinische Wirksamkeit einer antibakteriell beschichteten Verriegelungsnagel bei hochrisiko-tibialen und femoralen Frakturen an 103 Patienten.</w:t>
      </w:r>
    </w:p>
    <w:p>
      <w:r>
        <w:rPr>
          <w:b/>
        </w:rPr>
        <w:t xml:space="preserve">Ergebnis: </w:t>
      </w:r>
      <w:r>
        <w:t>Fraktionsinfektion trat in 5,8 % der Fälle auf (6/103 Patienten: 7,3 % tibial, 4,2 % femoral). Alle Infektionen wurden ohne Sepsis oder Amputation erfolgreich behandelt. Knochenbruchverkeilung in 94,5 % tibial und 95,8 % femoral erreicht. Die Beschichtung könnte ein vielversprechender Ansatz sein, erfordert aber prospektive kontrollierte Studien zur Bestätigung.</w:t>
      </w:r>
    </w:p>
    <w:p>
      <w:r>
        <w:rPr>
          <w:b/>
          <w:sz w:val="19"/>
        </w:rPr>
        <w:t xml:space="preserve">Übertragbarkeit: </w:t>
      </w:r>
      <w:r>
        <w:rPr>
          <w:sz w:val="19"/>
        </w:rPr>
        <w:t>Deutschland und deutschsprachiger Raum, vergleichbare Traumatologiestudards</w:t>
      </w:r>
    </w:p>
    <w:p>
      <w:r>
        <w:rPr>
          <w:color w:val="5A7D3A"/>
          <w:sz w:val="18"/>
        </w:rPr>
        <w:t>https://pubmed.ncbi.nlm.nih.gov/42752738/</w:t>
      </w:r>
    </w:p>
    <w:p>
      <w:pPr>
        <w:pStyle w:val="Heading2"/>
      </w:pPr>
      <w:r>
        <w:t>Deterministische und stochastische Interventionen bei Medikamenteninteraktionen: Systemische Grenzen und Hybrid-Ansätze nötig</w:t>
      </w:r>
    </w:p>
    <w:p>
      <w:r>
        <w:rPr>
          <w:i/>
          <w:color w:val="666666"/>
          <w:sz w:val="18"/>
        </w:rPr>
        <w:t>Ahmad Zuber MF et al.  ·  PLoS One  ·  17.09.2026  ·  PMID 42752658</w:t>
      </w:r>
    </w:p>
    <w:p>
      <w:r>
        <w:t>Systematische Übersichtsarbeit evaluiert computergestützte oder klinische Entscheidungsunterstützungs-Interventionen zur Reduktion von Arzneimittelwechselwirkungen oder unangemessener Verschreibung gemäß PRISMA 2020-Richtlinien.</w:t>
      </w:r>
    </w:p>
    <w:p>
      <w:r>
        <w:rPr>
          <w:b/>
        </w:rPr>
        <w:t xml:space="preserve">Ergebnis: </w:t>
      </w:r>
      <w:r>
        <w:t>Zehn Studien eingeschlossen. Frühe deterministische Systeme zeigten bescheidene Verbesserungen bei Verschreibungsprozessen, aber inkonsistente Links zu Patientenergebnissen. Neuere stochastische/generative Modelle berichten starke interne Performance-Metriken, aber hohes Bias-Risiko bei der Validierung, unzureichende externe Validierung, mangelnde Overfitting-Kontrolle. Deterministische Systeme bieten Transparenz, aber keine Anpassung an Patientenkontexte. Hybrid-Architekturen mit validierten stochastischen und erklärbar regelgestützten Komponenten sind erforderlich.</w:t>
      </w:r>
    </w:p>
    <w:p>
      <w:r>
        <w:rPr>
          <w:b/>
          <w:sz w:val="19"/>
        </w:rPr>
        <w:t xml:space="preserve">Übertragbarkeit: </w:t>
      </w:r>
      <w:r>
        <w:rPr>
          <w:sz w:val="19"/>
        </w:rPr>
        <w:t>Internationale Übersicht, Designprinzipien auf Deutschland anwendbar</w:t>
      </w:r>
    </w:p>
    <w:p>
      <w:r>
        <w:rPr>
          <w:color w:val="5A7D3A"/>
          <w:sz w:val="18"/>
        </w:rPr>
        <w:t>https://pubmed.ncbi.nlm.nih.gov/42752658/</w:t>
      </w:r>
    </w:p>
    <w:p>
      <w:pPr>
        <w:pStyle w:val="Heading2"/>
      </w:pPr>
      <w:r>
        <w:t>Intelligentes Katheter-Warnsystem reduziert ungeplante Extubation um 41 bis 48 Prozent</w:t>
      </w:r>
    </w:p>
    <w:p>
      <w:r>
        <w:rPr>
          <w:i/>
          <w:color w:val="666666"/>
          <w:sz w:val="18"/>
        </w:rPr>
        <w:t>Lu Y et al.  ·  Health Informatics J  ·  17.09.2026  ·  PMID 42752222</w:t>
      </w:r>
    </w:p>
    <w:p>
      <w:r>
        <w:t>Vorher-nachher-Studie in tertärem Krankenhaus evaluiert intelligentes Katheter-Risikowarn-System mit integrierter Pflege, Wartungsübersicht und QR-Patienten-Aufklärung bei 205 Pflegekräften und Patienten mit Katheter.</w:t>
      </w:r>
    </w:p>
    <w:p>
      <w:r>
        <w:rPr>
          <w:b/>
        </w:rPr>
        <w:t xml:space="preserve">Ergebnis: </w:t>
      </w:r>
      <w:r>
        <w:t>Ungeplante Nasenmagen-Schlauch-Entfernung sank von 0,852 ‰ auf 0,501 ‰ (-41 %). Ungeplante Blasenkatheter-Entfernung sank von 0,219 ‰ auf 0,114 ‰ (-48 %). PSSUQ-Scores und Pflegezufriedenheit verbesserten sich signifikant (p &lt; 0,001). Beschriftungsfehler reduzierten sich. System verbessert dokumentierbar Patientensicherheit bei Katheterpflege.</w:t>
      </w:r>
    </w:p>
    <w:p>
      <w:r>
        <w:rPr>
          <w:b/>
          <w:sz w:val="19"/>
        </w:rPr>
        <w:t xml:space="preserve">Übertragbarkeit: </w:t>
      </w:r>
      <w:r>
        <w:rPr>
          <w:sz w:val="19"/>
        </w:rPr>
        <w:t>China, technisches System; Prinzip auf deutsche Kliniken übertragbar</w:t>
      </w:r>
    </w:p>
    <w:p>
      <w:r>
        <w:rPr>
          <w:color w:val="5A7D3A"/>
          <w:sz w:val="18"/>
        </w:rPr>
        <w:t>https://pubmed.ncbi.nlm.nih.gov/42752222/</w:t>
      </w:r>
    </w:p>
    <w:p>
      <w:pPr>
        <w:pStyle w:val="Heading2"/>
      </w:pPr>
      <w:r>
        <w:t>Nosokomiale Infektionen nach Gesichtsverletzungen im Kriegseinsatz: 40,9 % Rate bei 2.631 ukrainischen Patienten</w:t>
      </w:r>
    </w:p>
    <w:p>
      <w:r>
        <w:rPr>
          <w:i/>
          <w:color w:val="666666"/>
          <w:sz w:val="18"/>
        </w:rPr>
        <w:t>Salmanov AG et al.  ·  Wiad Lek  ·  2026  ·  PMID 42748302</w:t>
      </w:r>
    </w:p>
    <w:p>
      <w:r>
        <w:t>Multizentrische prospektive Beobachtungsstudie untersucht nosokomiale Infektionen nach kiefer-oralchirurgischen Verfahren bei Patienten mit kampfbezogenen Kopf- und Halsverletzungen 2022–2025 in der Ukraine.</w:t>
      </w:r>
    </w:p>
    <w:p>
      <w:r>
        <w:rPr>
          <w:b/>
        </w:rPr>
        <w:t xml:space="preserve">Ergebnis: </w:t>
      </w:r>
      <w:r>
        <w:t>Unter 2.631 Patienten entwickelten 40,9 % (1.075) nosokomiale Infektionen. Häufigste Typ: chirurgische Infektionen 54 %, Knochen-Gelenk-Infektionen 14,2 %, Pneumonie 12,2 %, Harnwegsinfektionen 8,6 %, Sepsis 6,6 %. Risikofaktoren: Intensivaufenthalt, Intubation, Katheter. Hohes Infektionsaufkommen unter Bedingungen extremer Verletzungsschwere zeigt Grenzen der Infektionsprävention auf.</w:t>
      </w:r>
    </w:p>
    <w:p>
      <w:r>
        <w:rPr>
          <w:b/>
          <w:sz w:val="19"/>
        </w:rPr>
        <w:t xml:space="preserve">Übertragbarkeit: </w:t>
      </w:r>
      <w:r>
        <w:rPr>
          <w:sz w:val="19"/>
        </w:rPr>
        <w:t>Osteuropa unter Kriegsbedingungen, begrenzte Übertragbarkeit auf Standards</w:t>
      </w:r>
    </w:p>
    <w:p>
      <w:r>
        <w:rPr>
          <w:color w:val="5A7D3A"/>
          <w:sz w:val="18"/>
        </w:rPr>
        <w:t>https://pubmed.ncbi.nlm.nih.gov/42748302/</w:t>
      </w:r>
    </w:p>
    <w:p>
      <w:pPr>
        <w:pStyle w:val="Heading1"/>
      </w:pPr>
      <w:r>
        <w:t>Aufgenommen am 19.09.2026</w:t>
      </w:r>
    </w:p>
    <w:p>
      <w:pPr>
        <w:pStyle w:val="Heading2"/>
      </w:pPr>
      <w:r>
        <w:t>ADRe-Profil senkte Medikationsprobleme bei älteren Patienten um 82%</w:t>
      </w:r>
    </w:p>
    <w:p>
      <w:r>
        <w:rPr>
          <w:i/>
          <w:color w:val="666666"/>
          <w:sz w:val="18"/>
        </w:rPr>
        <w:t>Logan V et al.  ·  PLoS One  ·  18.09.2026  ·  PMID 42758689</w:t>
      </w:r>
    </w:p>
    <w:p>
      <w:r>
        <w:t>Cluster-randomisierte Studie zur Frage, ob ein Adverse Drug Reaction Profile bei Patienten ≥65 Jahren mit über 4 Dauermedikationen in der Hausarztpraxis unerwünschte Arzneimittelwirkungen und Polypharmzie-Probleme reduziert.</w:t>
      </w:r>
    </w:p>
    <w:p>
      <w:r>
        <w:rPr>
          <w:b/>
        </w:rPr>
        <w:t xml:space="preserve">Ergebnis: </w:t>
      </w:r>
      <w:r>
        <w:t>82% der Interventionsgruppe (22/27 Patienten) hatten mindestens ein bearbeitetes Problem vs. 35% der Kontrollgruppe (11/30), adjustierte Odds Ratio 7,48 (95%-KI 1,99–28,10). B12-Mangel und Flecainide-Demedikation wurden kritisch erkannt; weniger Schmerzberichte in der Interventionsgruppe.</w:t>
      </w:r>
    </w:p>
    <w:p>
      <w:r>
        <w:rPr>
          <w:b/>
          <w:sz w:val="19"/>
        </w:rPr>
        <w:t xml:space="preserve">Übertragbarkeit: </w:t>
      </w:r>
      <w:r>
        <w:rPr>
          <w:sz w:val="19"/>
        </w:rPr>
        <w:t>Großbritannien/Wales, vergleichbare primärärztliche Dokumentation und Polypharmzie-Problematik</w:t>
      </w:r>
    </w:p>
    <w:p>
      <w:r>
        <w:rPr>
          <w:color w:val="5A7D3A"/>
          <w:sz w:val="18"/>
        </w:rPr>
        <w:t>https://pubmed.ncbi.nlm.nih.gov/42758689/</w:t>
      </w:r>
    </w:p>
    <w:p>
      <w:pPr>
        <w:pStyle w:val="Heading2"/>
      </w:pPr>
      <w:r>
        <w:t>Sieben unabhängige Risikofaktoren für Druckgeschwüre nach Hüftfrakturchirurgie</w:t>
      </w:r>
    </w:p>
    <w:p>
      <w:r>
        <w:rPr>
          <w:i/>
          <w:color w:val="666666"/>
          <w:sz w:val="18"/>
        </w:rPr>
        <w:t>Zhao Y et al.  ·  J Wound Ostomy Continence Nurs  ·  Sept. 2026  ·  PMID 42758160</w:t>
      </w:r>
    </w:p>
    <w:p>
      <w:r>
        <w:t>US-amerikanische Beobachtungsstudie mit 14.523 Hüftfrakturpatienten (2019) aus der NSQIP-Datenbank zur Identifizierung unabhängiger Risikofaktoren für nosokomiale Druckgeschwüre nach operativer Versorgung.</w:t>
      </w:r>
    </w:p>
    <w:p>
      <w:r>
        <w:rPr>
          <w:b/>
        </w:rPr>
        <w:t xml:space="preserve">Ergebnis: </w:t>
      </w:r>
      <w:r>
        <w:t>4,3% entwickelten mindestens ein Druckgeschwür (628/14.523). Unabhängige Risikofaktoren: Alter &gt;70 Jahre (OR 1,488), BMI &lt;18,5 kg/m² (OR 1,347), Gewichtsverlust &gt;10% in 6 Monaten (OR 2,775), Mobilitätshilfe präoperativ (OR 1,833), Insulinabhängigkeit (OR 1,753), BUN &gt;24 mg/dL (OR 1,634), Aufnahme-zu-OP-Intervall &gt;1 Tag (OR 1,400).</w:t>
      </w:r>
    </w:p>
    <w:p>
      <w:r>
        <w:rPr>
          <w:b/>
          <w:sz w:val="19"/>
        </w:rPr>
        <w:t xml:space="preserve">Übertragbarkeit: </w:t>
      </w:r>
      <w:r>
        <w:rPr>
          <w:sz w:val="19"/>
        </w:rPr>
        <w:t>USA, aber Risikofaktor-Profil und NSQIP-Methodik in deutschen Kliniken anwendbar</w:t>
      </w:r>
    </w:p>
    <w:p>
      <w:r>
        <w:rPr>
          <w:color w:val="5A7D3A"/>
          <w:sz w:val="18"/>
        </w:rPr>
        <w:t>https://pubmed.ncbi.nlm.nih.gov/42758160/</w:t>
      </w:r>
    </w:p>
    <w:p>
      <w:pPr>
        <w:pStyle w:val="Heading2"/>
      </w:pPr>
      <w:r>
        <w:t>Tuberkulose-Infektionskontroll-Plan: 70% Compliance aber massive Governance-Lücken</w:t>
      </w:r>
    </w:p>
    <w:p>
      <w:r>
        <w:rPr>
          <w:i/>
          <w:color w:val="666666"/>
          <w:sz w:val="18"/>
        </w:rPr>
        <w:t>Espinosa M et al.  ·  Biomedica  ·  20.08.2026  ·  PMID 42757801</w:t>
      </w:r>
    </w:p>
    <w:p>
      <w:r>
        <w:t>Evaluative Studie mit Mixed-Methods in Cali, Kolumbien zur Bewertung der institutionellen Kapazitäten eines seit 2016 implementierten Tuberkulose-Infektionskontroll-Plans in Gesundheitseinrichtungen mit TB-Programmen.</w:t>
      </w:r>
    </w:p>
    <w:p>
      <w:r>
        <w:rPr>
          <w:b/>
        </w:rPr>
        <w:t xml:space="preserve">Ergebnis: </w:t>
      </w:r>
      <w:r>
        <w:t>Durchschnittliches Compliance: 70,8% administrative Maßnahmen, 62,1% Umweltkon trolle, 90,5% Atemschutz. Mängel: fehlender nationaler Rahmen, hohe Personalfluktuation, unzureichende Schulung, Investitionslücken, mangelnde Überwachung arbeitsbezogener TB. Stärken: Erfassung symptomatischer Atemwegspatienten, Verfügbarkeit von Schutzausrüstung.</w:t>
      </w:r>
    </w:p>
    <w:p>
      <w:r>
        <w:rPr>
          <w:b/>
          <w:sz w:val="19"/>
        </w:rPr>
        <w:t xml:space="preserve">Übertragbarkeit: </w:t>
      </w:r>
      <w:r>
        <w:rPr>
          <w:sz w:val="19"/>
        </w:rPr>
        <w:t>Kolumbien, aber Struktur-Gap-Analyse für Infektionskontroll-Programme übertragbar auf Schwellenländer</w:t>
      </w:r>
    </w:p>
    <w:p>
      <w:r>
        <w:rPr>
          <w:color w:val="5A7D3A"/>
          <w:sz w:val="18"/>
        </w:rPr>
        <w:t>https://pubmed.ncbi.nlm.nih.gov/42757801/</w:t>
      </w:r>
    </w:p>
    <w:p>
      <w:pPr>
        <w:pStyle w:val="Heading2"/>
      </w:pPr>
      <w:r>
        <w:t>Stromausfälle durch Treibstoffmangel: Kaskadierende Patientensicherheits-Ausfälle in Konflikt-Szenarios</w:t>
      </w:r>
    </w:p>
    <w:p>
      <w:r>
        <w:rPr>
          <w:i/>
          <w:color w:val="666666"/>
          <w:sz w:val="18"/>
        </w:rPr>
        <w:t>Warrier AR et al.  ·  BMJ Open Qual  ·  17.09.2026  ·  PMID 42754290</w:t>
      </w:r>
    </w:p>
    <w:p>
      <w:r>
        <w:t>Proaktive Fehlermodalitäts- und Effektanalyse (FMEA) an 455-Bett-Klinik Südindien zur Modellierung von Patientensicherheitsrisiken bei akutem Treibstoff-/Flüssiggasausfall in geopolitischem Konflikt-Szenario.</w:t>
      </w:r>
    </w:p>
    <w:p>
      <w:r>
        <w:rPr>
          <w:b/>
        </w:rPr>
        <w:t xml:space="preserve">Ergebnis: </w:t>
      </w:r>
      <w:r>
        <w:t>62 Fehlerszenarien: 5 kritisch (RPNs ≥200), 17 hoch (150–199), 34 mittel (100–149), 6 niedrig (&lt;100). Generator/Stromversorgung Mittelwert RPN 171,0 = Systemamplifikator. Wäscherei (OP/ICU-Wäsche-Sterilisation): höchstes Einzelrisiko RPN 240. Küche LPG-abhängig: durchschnittlich 163,4.</w:t>
      </w:r>
    </w:p>
    <w:p>
      <w:r>
        <w:rPr>
          <w:b/>
          <w:sz w:val="19"/>
        </w:rPr>
        <w:t xml:space="preserve">Übertragbarkeit: </w:t>
      </w:r>
      <w:r>
        <w:rPr>
          <w:sz w:val="19"/>
        </w:rPr>
        <w:t>Indien, aber Kaskadenanalyse und Ausfallmuster sind für deutsche Krankenhäuser in Krisenszenarios anwendbar</w:t>
      </w:r>
    </w:p>
    <w:p>
      <w:r>
        <w:rPr>
          <w:color w:val="5A7D3A"/>
          <w:sz w:val="18"/>
        </w:rPr>
        <w:t>https://pubmed.ncbi.nlm.nih.gov/42754290/</w:t>
      </w:r>
    </w:p>
    <w:p>
      <w:pPr>
        <w:pStyle w:val="Heading2"/>
      </w:pPr>
      <w:r>
        <w:t>Mangelhaft vermitteltes Management-Support gefährdet psychologische Genesung nach Arbeitsverletzung</w:t>
      </w:r>
    </w:p>
    <w:p>
      <w:r>
        <w:rPr>
          <w:i/>
          <w:color w:val="666666"/>
          <w:sz w:val="18"/>
        </w:rPr>
        <w:t>Dawson A et al.  ·  J Safety Res  ·  26.05.2026  ·  PMID 42744463</w:t>
      </w:r>
    </w:p>
    <w:p>
      <w:r>
        <w:t>Zwei britische Querschnittsstudien mit Eisenbahnwerkstatt-Mitarbeitern (N₁=264, N₂=117), ob organisationale Sicherheitsunterstützung durch Vorgesetzte die psychische Belastung und emotionales Wohlbefinden nach beruflicher Verletzung moderiert.</w:t>
      </w:r>
    </w:p>
    <w:p>
      <w:r>
        <w:rPr>
          <w:b/>
        </w:rPr>
        <w:t xml:space="preserve">Ergebnis: </w:t>
      </w:r>
      <w:r>
        <w:t>Support von direkten Vorgesetzten und Kollegen moderierte nicht. Support des Top-Managements zeigte bei häufigeren Verletzungen kontraintuitiv: höhere wahrgenommene Unterstützung war mit niedrigerem positiven Affekt assoziiert – Effekt der Glaubwürdigkeitslücke zwischen symbolischer und gelebter Praxis.</w:t>
      </w:r>
    </w:p>
    <w:p>
      <w:r>
        <w:rPr>
          <w:b/>
          <w:sz w:val="19"/>
        </w:rPr>
        <w:t xml:space="preserve">Übertragbarkeit: </w:t>
      </w:r>
      <w:r>
        <w:rPr>
          <w:sz w:val="19"/>
        </w:rPr>
        <w:t>Großbritannien, Eisenbahn-Sicherheitskultur, aber Befund zu Vertrauensdefiziten ist systemübergreifend</w:t>
      </w:r>
    </w:p>
    <w:p>
      <w:r>
        <w:rPr>
          <w:color w:val="5A7D3A"/>
          <w:sz w:val="18"/>
        </w:rPr>
        <w:t>https://pubmed.ncbi.nlm.nih.gov/42744463/</w:t>
      </w:r>
    </w:p>
    <w:p>
      <w:pPr>
        <w:pStyle w:val="Heading2"/>
      </w:pPr>
      <w:r>
        <w:t>Verzögerte Entlassungsberichte zeigten keinen Sicherheitseffekt nach Pneumonie-Hospitalisierung</w:t>
      </w:r>
    </w:p>
    <w:p>
      <w:r>
        <w:rPr>
          <w:i/>
          <w:color w:val="666666"/>
          <w:sz w:val="18"/>
        </w:rPr>
        <w:t>Danjou A et al.  ·  Int J Qual Health Care  ·  08.07.2026  ·  PMID 42623130</w:t>
      </w:r>
    </w:p>
    <w:p>
      <w:r>
        <w:t>Französische Kohortenstudie zu 1004 Patienten nach Hospitalisierung wegen ambulant erworbener Lungenentzündung, ob das Fehlen einer am Entlasstag erstellten Entlassdokumentation die 30-Tage-Mortalität und Wiederaufnahmen erhöht.</w:t>
      </w:r>
    </w:p>
    <w:p>
      <w:r>
        <w:rPr>
          <w:b/>
        </w:rPr>
        <w:t xml:space="preserve">Ergebnis: </w:t>
      </w:r>
      <w:r>
        <w:t>Entlassdokumentation lag bei 30% am Entlasstag vor (305/1004). Nach Propensity-Score-Gewichtung: unerwünschte Ereignisse 12% vs. 14% (OR 1,12; 95%-KI 0,72–1,75), Wiederaufnahmen 9,6% vs. 10% (OR 1,09; 95%-KI 0,65–1,84), Mortalität 6,9% vs. 4,3% (OR 0,61; 95%-KI 0,31–1,21) – kein signifikanter Unterschied.</w:t>
      </w:r>
    </w:p>
    <w:p>
      <w:r>
        <w:rPr>
          <w:b/>
          <w:sz w:val="19"/>
        </w:rPr>
        <w:t xml:space="preserve">Übertragbarkeit: </w:t>
      </w:r>
      <w:r>
        <w:rPr>
          <w:sz w:val="19"/>
        </w:rPr>
        <w:t>Frankreich, nationales Gesundheitsdatensystem, ähnliche Entlassdokumentationspflichten</w:t>
      </w:r>
    </w:p>
    <w:p>
      <w:r>
        <w:rPr>
          <w:color w:val="5A7D3A"/>
          <w:sz w:val="18"/>
        </w:rPr>
        <w:t>https://pubmed.ncbi.nlm.nih.gov/42623130/</w:t>
      </w:r>
    </w:p>
    <w:p>
      <w:pPr>
        <w:pStyle w:val="Heading1"/>
      </w:pPr>
      <w:r>
        <w:t>Aufgenommen am 18.09.2026</w:t>
      </w:r>
    </w:p>
    <w:p>
      <w:pPr>
        <w:pStyle w:val="Heading2"/>
      </w:pPr>
      <w:r>
        <w:t>MedDRA-Standardisierung halbierte Sicherheitsmeldelücken in Operationsstudien</w:t>
      </w:r>
    </w:p>
    <w:p>
      <w:r>
        <w:rPr>
          <w:i/>
          <w:color w:val="666666"/>
          <w:sz w:val="18"/>
        </w:rPr>
        <w:t>Camasso NC et al.  ·  BMJ Open  ·  17.09.2026  ·  PMID 42754271</w:t>
      </w:r>
    </w:p>
    <w:p>
      <w:r>
        <w:t>Querschnittsanalyse untersuchte, ob standardisierte Nomenklatur (MedDRA) für Nebenwirkungen die Qualität der Sicherheitsberichterstattung in chirurgischen Randomisierungsstudien verbessert.</w:t>
      </w:r>
    </w:p>
    <w:p>
      <w:r>
        <w:rPr>
          <w:b/>
        </w:rPr>
        <w:t xml:space="preserve">Ergebnis: </w:t>
      </w:r>
      <w:r>
        <w:t>Nur 18,8% der 116 Studien nutzten MedDRA. Mit MedDRA: vollständigere Berichte (p&lt;0,001), Concordance Registry-Publication 60% vs. 82% Diskrepanz, Mortalitätsmeldungen 60% vs. 82% Diskordanz. Industriefinanzierung und US-Beteiligung erhöhten MedDRA-Adoption um Faktor 29 bzw. 4,6.</w:t>
      </w:r>
    </w:p>
    <w:p>
      <w:r>
        <w:rPr>
          <w:b/>
          <w:sz w:val="19"/>
        </w:rPr>
        <w:t xml:space="preserve">Übertragbarkeit: </w:t>
      </w:r>
      <w:r>
        <w:rPr>
          <w:sz w:val="19"/>
        </w:rPr>
        <w:t>Universelles Problem Chirurgieforschung, MedDRA auch in deutschsprachigen Kliniken einsetzbar.</w:t>
      </w:r>
    </w:p>
    <w:p>
      <w:r>
        <w:rPr>
          <w:color w:val="5A7D3A"/>
          <w:sz w:val="18"/>
        </w:rPr>
        <w:t>https://pubmed.ncbi.nlm.nih.gov/42754271/</w:t>
      </w:r>
    </w:p>
    <w:p>
      <w:pPr>
        <w:pStyle w:val="Heading2"/>
      </w:pPr>
      <w:r>
        <w:t>Pflegeleiter-Bundle senkte Pneumonierisiko bei septischen Bauchpatienten um 40 Prozent</w:t>
      </w:r>
    </w:p>
    <w:p>
      <w:r>
        <w:rPr>
          <w:i/>
          <w:color w:val="666666"/>
          <w:sz w:val="18"/>
        </w:rPr>
        <w:t>Xu Y et al.  ·  Crit Care  ·  14.09.2026  ·  PMID 42750044</w:t>
      </w:r>
    </w:p>
    <w:p>
      <w:r>
        <w:t>Studie untersuchte, ob ein Pflege-Behandlungsbündel für Atemwegsmanagement die Pneumonierate bei kritisch kranken Patienten mit Abdominalempyem senkt.</w:t>
      </w:r>
    </w:p>
    <w:p>
      <w:r>
        <w:rPr>
          <w:b/>
        </w:rPr>
        <w:t xml:space="preserve">Ergebnis: </w:t>
      </w:r>
      <w:r>
        <w:t>Das Bundle reduzierte Pneumonieinzidenz von 42,2% auf 25,6% (OR 0,39; 95%-KI 0,28–0,54; p&lt;0,001), Krankenhausaufenthalt um 20% und 28-Tage-Mortalität von 22,8% auf 18,3%. Fünf Sensitivitätsanalysen bestätigten Robustheit ohne Heterogenität zwischen Zentren.</w:t>
      </w:r>
    </w:p>
    <w:p>
      <w:r>
        <w:rPr>
          <w:b/>
          <w:sz w:val="19"/>
        </w:rPr>
        <w:t xml:space="preserve">Übertragbarkeit: </w:t>
      </w:r>
      <w:r>
        <w:rPr>
          <w:sz w:val="19"/>
        </w:rPr>
        <w:t>China, aber strukturierte Bundle-Ansätze auf Intensivstationen sind international etabliert.</w:t>
      </w:r>
    </w:p>
    <w:p>
      <w:r>
        <w:rPr>
          <w:color w:val="5A7D3A"/>
          <w:sz w:val="18"/>
        </w:rPr>
        <w:t>https://pubmed.ncbi.nlm.nih.gov/42750044/</w:t>
      </w:r>
    </w:p>
    <w:p>
      <w:pPr>
        <w:pStyle w:val="Heading2"/>
      </w:pPr>
      <w:r>
        <w:t>Pathogen-PCR-Diagnostik senkte unnötige Antibiotika und verbesserte Sepsis-Überleben</w:t>
      </w:r>
    </w:p>
    <w:p>
      <w:r>
        <w:rPr>
          <w:i/>
          <w:color w:val="666666"/>
          <w:sz w:val="18"/>
        </w:rPr>
        <w:t>Zhang H et al.  ·  Nat Commun  ·  20.08.2026  ·  PMID 42749736</w:t>
      </w:r>
    </w:p>
    <w:p>
      <w:r>
        <w:t>Randomisierte Studie testete, ob digitale PCR-Diagnostik die Antibiotikaanpassung bei Sepsis-Verdacht steuert und Sterblichkeit senkt.</w:t>
      </w:r>
    </w:p>
    <w:p>
      <w:r>
        <w:rPr>
          <w:b/>
        </w:rPr>
        <w:t xml:space="preserve">Ergebnis: </w:t>
      </w:r>
      <w:r>
        <w:t>ddPCR erhöhte korrekte Antibiotikaabdeckung von 6,1% auf 12,91% (p=0,0039), Tagesmelder schneller. Pathogenenlast &gt;3051 Kopien/ml (Tag 0), &gt;404 (Tag 3), &gt;1348 (Tag 7) vorhersagend für 28-Tage-Mortalität. Frühe genauigkeitsbasierte Therapieanpassung verbesserte Überleben signifikant.</w:t>
      </w:r>
    </w:p>
    <w:p>
      <w:r>
        <w:rPr>
          <w:b/>
          <w:sz w:val="19"/>
        </w:rPr>
        <w:t xml:space="preserve">Übertragbarkeit: </w:t>
      </w:r>
      <w:r>
        <w:rPr>
          <w:sz w:val="19"/>
        </w:rPr>
        <w:t>China-Daten, aber Diagnostik-Prinzip auf Sepsis-Erkennung universell übertragbar.</w:t>
      </w:r>
    </w:p>
    <w:p>
      <w:r>
        <w:rPr>
          <w:color w:val="5A7D3A"/>
          <w:sz w:val="18"/>
        </w:rPr>
        <w:t>https://pubmed.ncbi.nlm.nih.gov/42749736/</w:t>
      </w:r>
    </w:p>
    <w:p>
      <w:pPr>
        <w:pStyle w:val="Heading2"/>
      </w:pPr>
      <w:r>
        <w:t>Sicherheitsclutter-Taxonomie identifiziert verschleuerte Prozesse, die Schaden nicht mindern</w:t>
      </w:r>
    </w:p>
    <w:p>
      <w:r>
        <w:rPr>
          <w:i/>
          <w:color w:val="666666"/>
          <w:sz w:val="18"/>
        </w:rPr>
        <w:t>Raheemy Y et al.  ·  J Safety Res  ·  15.06.2026  ·  PMID 42744505</w:t>
      </w:r>
    </w:p>
    <w:p>
      <w:r>
        <w:t>Qualitative Studie mit Expertenfokusgruppen und 11 Jobsite-Ethnografien (Bauwesen) entwickelt eine Diagnose-Klassifikation für Sicherheitsmaßnahmen, die Zeit verschwenden.</w:t>
      </w:r>
    </w:p>
    <w:p>
      <w:r>
        <w:rPr>
          <w:b/>
        </w:rPr>
        <w:t xml:space="preserve">Ergebnis: </w:t>
      </w:r>
      <w:r>
        <w:t>Sicherheitsclutter definiert als Aufwand, der ohne Sicherheitsgewinn Ressourcen bindet: bedingte Clutter (exzessiv, irrelevant, unerreichbar) und reine Clutter (ungültig). 11 Clutter-Typen mit Erkennungszeichen und Fallbeispielen benannt, Triangulation Fokusgruppe-Ethnografie validiert Kategoriengrenzen.</w:t>
      </w:r>
    </w:p>
    <w:p>
      <w:r>
        <w:rPr>
          <w:b/>
          <w:sz w:val="19"/>
        </w:rPr>
        <w:t xml:space="preserve">Übertragbarkeit: </w:t>
      </w:r>
      <w:r>
        <w:rPr>
          <w:sz w:val="19"/>
        </w:rPr>
        <w:t>Bauwesen primär, Konzept auf Krankenhausprozesse (Fehlermeldesysteme, Dokumentation) übertragbar.</w:t>
      </w:r>
    </w:p>
    <w:p>
      <w:r>
        <w:rPr>
          <w:color w:val="5A7D3A"/>
          <w:sz w:val="18"/>
        </w:rPr>
        <w:t>https://pubmed.ncbi.nlm.nih.gov/42744505/</w:t>
      </w:r>
    </w:p>
    <w:p>
      <w:pPr>
        <w:pStyle w:val="Heading2"/>
      </w:pPr>
      <w:r>
        <w:t>Digitalisierung steigert Arbeitsschutzegoismus, wenn Mitsprache fehlt – Spanien und Dänemark</w:t>
      </w:r>
    </w:p>
    <w:p>
      <w:r>
        <w:rPr>
          <w:i/>
          <w:color w:val="666666"/>
          <w:sz w:val="18"/>
        </w:rPr>
        <w:t>Foncubierta-Rodríguez MJ  ·  J Safety Res  ·  17.08.2026  ·  PMID 42744499</w:t>
      </w:r>
    </w:p>
    <w:p>
      <w:r>
        <w:t>Querschnittswiederholung (ESENER 2019/2024) testet, ob Digitalisierung universell zum Reaktions- statt Präventivsicherheit führt und wie Mitarbeitermitsprache puffert.</w:t>
      </w:r>
    </w:p>
    <w:p>
      <w:r>
        <w:rPr>
          <w:b/>
        </w:rPr>
        <w:t xml:space="preserve">Ergebnis: </w:t>
      </w:r>
      <w:r>
        <w:t>Digitalisierung triggert überall Organisationsreaktivität; Arbeitermitsprache war 2019 inaktiv (nonsignifikant), 2024 aktiver Schutzfaktor gegen Reaktivität (β=0,547; p&lt;0,001). Traditionelle Industrie 2024 deutlich schlechter in Sicherheitsmanagement als Dienstleistung. Strukturelle Schichtung nach Sektor neu in post-pandemischer Ära.</w:t>
      </w:r>
    </w:p>
    <w:p>
      <w:r>
        <w:rPr>
          <w:b/>
          <w:sz w:val="19"/>
        </w:rPr>
        <w:t xml:space="preserve">Übertragbarkeit: </w:t>
      </w:r>
      <w:r>
        <w:rPr>
          <w:sz w:val="19"/>
        </w:rPr>
        <w:t>Spanien/Dänemark-Daten, EU-Risikomanagement-Rahmen, aber Befund zur Digitalisierungs-Reaktivität systemunabhängig.</w:t>
      </w:r>
    </w:p>
    <w:p>
      <w:r>
        <w:rPr>
          <w:color w:val="5A7D3A"/>
          <w:sz w:val="18"/>
        </w:rPr>
        <w:t>https://pubmed.ncbi.nlm.nih.gov/42744499/</w:t>
      </w:r>
    </w:p>
    <w:p>
      <w:pPr>
        <w:pStyle w:val="Heading2"/>
      </w:pPr>
      <w:r>
        <w:t>Multipack-Implantate kürzten OP-Zeit und Verpackungsabfall in Wirbelsäulenchirurgie</w:t>
      </w:r>
    </w:p>
    <w:p>
      <w:r>
        <w:rPr>
          <w:i/>
          <w:color w:val="666666"/>
          <w:sz w:val="18"/>
        </w:rPr>
        <w:t>Bludau F et al.  ·  Medicina (Kaunas)  ·  26.06.2026  ·  PMID 42512785</w:t>
      </w:r>
    </w:p>
    <w:p>
      <w:r>
        <w:t>HTA-Vergleichsstudie mit Messungen während acht Fusionen bewertete Einzelimplantat- gegen Multipack-Versorgung auf Workflow, Materialverbrauch und CO2-Bilanz.</w:t>
      </w:r>
    </w:p>
    <w:p>
      <w:r>
        <w:rPr>
          <w:b/>
        </w:rPr>
        <w:t xml:space="preserve">Ergebnis: </w:t>
      </w:r>
      <w:r>
        <w:t>Multipack senkte Griffzeit um 58% (25,4 s vs. 58,7 s; p=0,004), Steriltransferaufwand um Faktor 4,76, Verpackungsvolumen um Faktor 5,6, CO2-Äquivalent 0,017 kg vs. 0,026 kg. Personalzufriedenheit 73% positiv; Nachteil: möglicher Materialabfall ungenutzter Implantate.</w:t>
      </w:r>
    </w:p>
    <w:p>
      <w:r>
        <w:rPr>
          <w:b/>
          <w:sz w:val="19"/>
        </w:rPr>
        <w:t xml:space="preserve">Übertragbarkeit: </w:t>
      </w:r>
      <w:r>
        <w:rPr>
          <w:sz w:val="19"/>
        </w:rPr>
        <w:t>Deutschland: Universitätsklinikum Mannheim, vergleichbare Operationsumgebung und Dokumentationspflichten.</w:t>
      </w:r>
    </w:p>
    <w:p>
      <w:r>
        <w:rPr>
          <w:color w:val="5A7D3A"/>
          <w:sz w:val="18"/>
        </w:rPr>
        <w:t>https://pubmed.ncbi.nlm.nih.gov/42512785/</w:t>
      </w:r>
    </w:p>
    <w:p>
      <w:pPr>
        <w:pStyle w:val="Heading1"/>
      </w:pPr>
      <w:r>
        <w:t>Aufgenommen am 17.09.2026</w:t>
      </w:r>
    </w:p>
    <w:p>
      <w:pPr>
        <w:pStyle w:val="Heading2"/>
      </w:pPr>
      <w:r>
        <w:t>Nachhaltige Schutzausrüstung reduziert Carbon-Footprint ohne Infektionsrisiko</w:t>
      </w:r>
    </w:p>
    <w:p>
      <w:r>
        <w:rPr>
          <w:i/>
          <w:color w:val="666666"/>
          <w:sz w:val="18"/>
        </w:rPr>
        <w:t>Slyne H  ·  Br J Nurs  ·  17.09.2026  ·  PMID 42748025</w:t>
      </w:r>
    </w:p>
    <w:p>
      <w:r>
        <w:t>Übersichtsarbeit der Infection Prevention and Control Abteilung eines britischen Universitätskrankenhauses zu erfolgreichen Implementierungen nachhaltiger Persönlicher Schutzausrüstung (Handschuhe, Schürzen, Isolation Gowns, Masken).</w:t>
      </w:r>
    </w:p>
    <w:p>
      <w:r>
        <w:rPr>
          <w:b/>
        </w:rPr>
        <w:t xml:space="preserve">Ergebnis: </w:t>
      </w:r>
      <w:r>
        <w:t>Studienübersicht zeigt Kosteneinsparungen, CO₂-Reduktionen und verbesserte Mitarbeiter-Zufriedenheit sowie Hautgesundheit ohne nachteilige Auswirkungen auf nosokomiale Infektionen. Handschuh-Übernutzung identifiziert als größter Carbon-Hotspot im Gesundheitswesen.</w:t>
      </w:r>
    </w:p>
    <w:p>
      <w:r>
        <w:rPr>
          <w:b/>
          <w:sz w:val="19"/>
        </w:rPr>
        <w:t xml:space="preserve">Übertragbarkeit: </w:t>
      </w:r>
      <w:r>
        <w:rPr>
          <w:sz w:val="19"/>
        </w:rPr>
        <w:t>Vereinigtes Königreich, vergleichbare PPE-Standards und Dokumentationspflichten</w:t>
      </w:r>
    </w:p>
    <w:p>
      <w:r>
        <w:rPr>
          <w:color w:val="5A7D3A"/>
          <w:sz w:val="18"/>
        </w:rPr>
        <w:t>https://pubmed.ncbi.nlm.nih.gov/42748025/</w:t>
      </w:r>
    </w:p>
    <w:p>
      <w:pPr>
        <w:pStyle w:val="Heading2"/>
      </w:pPr>
      <w:r>
        <w:t>Perioperative Hypersensibilität im Kindesalter: Qualitative Analyse französischer Allergie-Kohorten</w:t>
      </w:r>
    </w:p>
    <w:p>
      <w:r>
        <w:rPr>
          <w:i/>
          <w:color w:val="666666"/>
          <w:sz w:val="18"/>
        </w:rPr>
        <w:t>Michel MP et al.  ·  Pediatr Allergy Immunol  ·  Sept. 2026  ·  PMID 42747994</w:t>
      </w:r>
    </w:p>
    <w:p>
      <w:r>
        <w:t>Analyse von 4.605 perioperativen Hypersensibilitätsreaktionen (461 Fälle bei Kindern &lt;18 Jahren) aus französischem GERAP-Netzwerk über drei Dekaden (1997–2024) mit Allergen-Identifikation und Schweregraduierung.</w:t>
      </w:r>
    </w:p>
    <w:p>
      <w:r>
        <w:rPr>
          <w:b/>
        </w:rPr>
        <w:t xml:space="preserve">Ergebnis: </w:t>
      </w:r>
      <w:r>
        <w:t>Kausales Allergen in 43% der Fälle identifiziert (Neuromuscular-Blocking-Agents 31%, Latex 30%, Antibiotika 16%). Reaktionen mit Allergen-ID waren signifikant schwerer (Grad 3–4: 46% vs. 13%; p &lt; 0,001) mit höherer Tryptase (Median 16,0 vs. 4,0 μg/L; p &lt; 0,001). Latex-Reaktionen verschwanden nach 2017.</w:t>
      </w:r>
    </w:p>
    <w:p>
      <w:r>
        <w:rPr>
          <w:b/>
          <w:sz w:val="19"/>
        </w:rPr>
        <w:t xml:space="preserve">Übertragbarkeit: </w:t>
      </w:r>
      <w:r>
        <w:rPr>
          <w:sz w:val="19"/>
        </w:rPr>
        <w:t>Frankreich, hochgradig vergleichbar; europäischer Standard für Allergie-Registrierung und Perioperativ-Management</w:t>
      </w:r>
    </w:p>
    <w:p>
      <w:r>
        <w:rPr>
          <w:color w:val="5A7D3A"/>
          <w:sz w:val="18"/>
        </w:rPr>
        <w:t>https://pubmed.ncbi.nlm.nih.gov/42747994/</w:t>
      </w:r>
    </w:p>
    <w:p>
      <w:pPr>
        <w:pStyle w:val="Heading2"/>
      </w:pPr>
      <w:r>
        <w:t>Cefazolin mindestens gleichwertig zu Flucloxacillin bei Staphylococcus-aureus-Bakteriämie</w:t>
      </w:r>
    </w:p>
    <w:p>
      <w:r>
        <w:rPr>
          <w:i/>
          <w:color w:val="666666"/>
          <w:sz w:val="18"/>
        </w:rPr>
        <w:t>Jager NGL et al.  ·  Ned Tijdschr Geneeskd  ·  16.09.2026  ·  PMID 42747445</w:t>
      </w:r>
    </w:p>
    <w:p>
      <w:r>
        <w:t>Die internationale adaptive Plattformstudie SNAP verglich Cefazolin mit (Flu-)Cloxacillin bei Erwachsenen mit Methicillin-empfindlicher S.-aureus-Bakteriämie.</w:t>
      </w:r>
    </w:p>
    <w:p>
      <w:r>
        <w:rPr>
          <w:b/>
        </w:rPr>
        <w:t xml:space="preserve">Ergebnis: </w:t>
      </w:r>
      <w:r>
        <w:t>90-Tage-Mortalität 15,0% mit Cefazolin versus 17,0% mit (Flu-)Cloxacillin (aOR 0,81; 95%-KrI 0,59–1,12; Nicht-Unterlegenheitswahrscheinlichkeit 99,2%). Akutes Nierenschädigungsrisiko war bei Cefazolin signifikant niedriger (13,9% vs. 19,6%; aOR 0,67; 95%-KrI 0,50–0,89).</w:t>
      </w:r>
    </w:p>
    <w:p>
      <w:r>
        <w:rPr>
          <w:b/>
          <w:sz w:val="19"/>
        </w:rPr>
        <w:t xml:space="preserve">Übertragbarkeit: </w:t>
      </w:r>
      <w:r>
        <w:rPr>
          <w:sz w:val="19"/>
        </w:rPr>
        <w:t>Niederlande, vergleichbares Sozialversicherungssystem und ärztliches Handeln</w:t>
      </w:r>
    </w:p>
    <w:p>
      <w:r>
        <w:rPr>
          <w:color w:val="5A7D3A"/>
          <w:sz w:val="18"/>
        </w:rPr>
        <w:t>https://pubmed.ncbi.nlm.nih.gov/42747445/</w:t>
      </w:r>
    </w:p>
    <w:p>
      <w:pPr>
        <w:pStyle w:val="Heading2"/>
      </w:pPr>
      <w:r>
        <w:t>Opioid-Allergien-Labeling bewirkt unnötige Ausgrenzung sicherer Analgetika</w:t>
      </w:r>
    </w:p>
    <w:p>
      <w:r>
        <w:rPr>
          <w:i/>
          <w:color w:val="666666"/>
          <w:sz w:val="18"/>
        </w:rPr>
        <w:t>Eiset AH et al.  ·  Basic Clin Pharmacol Toxicol  ·  Okt. 2026  ·  PMID 42746690</w:t>
      </w:r>
    </w:p>
    <w:p>
      <w:r>
        <w:t>Audit von 14.661 Opioid-Allergieregistrierungen in elektronischen Patientenakten von sechs dänischen Krankenhäusern (2020–2023) validierte Text-Mining-Algorithmen zur Unterscheidung wahrer Überempfindlichkeit von normalen Nebenwirkungen.</w:t>
      </w:r>
    </w:p>
    <w:p>
      <w:r>
        <w:rPr>
          <w:b/>
        </w:rPr>
        <w:t xml:space="preserve">Ergebnis: </w:t>
      </w:r>
      <w:r>
        <w:t>Nur 19% (n = 2.710) der Registrierungen entsprachen einer wahrscheinlichen Allergie, überwiegend Hautausschlag oder Pruritus (71%). 33% der Patienten mit registrierter Allergie erhielten später sicher das gleiche Opioid; das Label ist ein sehr schwacher Prädiktor für echte Hypersensibilität.</w:t>
      </w:r>
    </w:p>
    <w:p>
      <w:r>
        <w:rPr>
          <w:b/>
          <w:sz w:val="19"/>
        </w:rPr>
        <w:t xml:space="preserve">Übertragbarkeit: </w:t>
      </w:r>
      <w:r>
        <w:rPr>
          <w:sz w:val="19"/>
        </w:rPr>
        <w:t>Dänemark mit Fehlermeldesystem ohne Verschuldensnachweis – Übertragung auf Arzthaftungs-Systeme mit Beweislast limitiert</w:t>
      </w:r>
    </w:p>
    <w:p>
      <w:r>
        <w:rPr>
          <w:color w:val="5A7D3A"/>
          <w:sz w:val="18"/>
        </w:rPr>
        <w:t>https://pubmed.ncbi.nlm.nih.gov/42746690/</w:t>
      </w:r>
    </w:p>
    <w:p>
      <w:pPr>
        <w:pStyle w:val="Heading2"/>
      </w:pPr>
      <w:r>
        <w:t>Falsch dokumentierte Penicillin-Allergie erhöht Infektionsrisiko bei Leberzirrhose-Patienten</w:t>
      </w:r>
    </w:p>
    <w:p>
      <w:r>
        <w:rPr>
          <w:i/>
          <w:color w:val="666666"/>
          <w:sz w:val="18"/>
        </w:rPr>
        <w:t>Danpanichkul P et al.  ·  Alcohol Clin Exp Res (Hoboken)  ·  Sept. 2026  ·  PMID 42745200</w:t>
      </w:r>
    </w:p>
    <w:p>
      <w:r>
        <w:t>Kohortenstudie mit Propensity-Score-Matching (n = 2.388) untersuchte die Auswirkung dokumentierter Penicillin-Allergie-Labels auf Infektionsraten bei Patienten mit alkoholischer Leberzirrhose in den USA.</w:t>
      </w:r>
    </w:p>
    <w:p>
      <w:r>
        <w:rPr>
          <w:b/>
        </w:rPr>
        <w:t xml:space="preserve">Ergebnis: </w:t>
      </w:r>
      <w:r>
        <w:t>Penicillin-Allergie-Label assoziiert mit erhöhtem Sepsis-Risiko (11,4% vs. 6,4%; HR 1,53; 95%-KI 1,16–2,02), Pneumonie (8,7% vs. 5,0%; HR 1,49), Harnwegsinfekt (11,7% vs. 6,6%; HR 1,55) und Alkoholhepatitis (19,0% vs. 13,5%; HR 1,27).</w:t>
      </w:r>
    </w:p>
    <w:p>
      <w:r>
        <w:rPr>
          <w:b/>
          <w:sz w:val="19"/>
        </w:rPr>
        <w:t xml:space="preserve">Übertragbarkeit: </w:t>
      </w:r>
      <w:r>
        <w:rPr>
          <w:sz w:val="19"/>
        </w:rPr>
        <w:t>USA-Daten, begrenzte Übertragbarkeit auf deutsche Dokumentations- und Haftungspraxis</w:t>
      </w:r>
    </w:p>
    <w:p>
      <w:r>
        <w:rPr>
          <w:color w:val="5A7D3A"/>
          <w:sz w:val="18"/>
        </w:rPr>
        <w:t>https://pubmed.ncbi.nlm.nih.gov/42745200/</w:t>
      </w:r>
    </w:p>
    <w:p>
      <w:pPr>
        <w:pStyle w:val="Heading2"/>
      </w:pPr>
      <w:r>
        <w:t>Hohe Sepsis-Inzidenz bei alkoholbedingter Zirrhose: 30%-Mortalität in erster Hospitalisierung</w:t>
      </w:r>
    </w:p>
    <w:p>
      <w:r>
        <w:rPr>
          <w:i/>
          <w:color w:val="666666"/>
          <w:sz w:val="18"/>
        </w:rPr>
        <w:t>Stenderup CJ et al.  ·  Liver Int  ·  Okt. 2026  ·  PMID 42741819</w:t>
      </w:r>
    </w:p>
    <w:p>
      <w:r>
        <w:t>Dänische populationsbasierte Studie aller Patienten mit alkoholbedingter Zirrhose (n = 2.511, 2013–2022) quantifizierte Sepsis- und Bakteriämie-Inzidenz und prognostische Faktoren.</w:t>
      </w:r>
    </w:p>
    <w:p>
      <w:r>
        <w:rPr>
          <w:b/>
        </w:rPr>
        <w:t xml:space="preserve">Ergebnis: </w:t>
      </w:r>
      <w:r>
        <w:t>Kumulative 3-Jahres-Inzidenz ernst gemeinter Systeminfektionen 5,9% (95%-KI 5,0–6,9). MELD-NA-Score war unabhängiger Prädiktor (sHR 1,05 pro Punkt; 95%-KI 1,02–1,08). 30-Tage-Mortalität nach Hospitalisierung mit Infektion: 30% (95%-KI 23–37). Enterobacterales 38%, Staphylokokken 25%, Streptokokken 22% der Isolate.</w:t>
      </w:r>
    </w:p>
    <w:p>
      <w:r>
        <w:rPr>
          <w:b/>
          <w:sz w:val="19"/>
        </w:rPr>
        <w:t xml:space="preserve">Übertragbarkeit: </w:t>
      </w:r>
      <w:r>
        <w:rPr>
          <w:sz w:val="19"/>
        </w:rPr>
        <w:t>Dänemark mit skandinavischem Melde- und Entschädigungssystem – Fallzahlen nicht mit deutschem vergleichbar</w:t>
      </w:r>
    </w:p>
    <w:p>
      <w:r>
        <w:rPr>
          <w:color w:val="5A7D3A"/>
          <w:sz w:val="18"/>
        </w:rPr>
        <w:t>https://pubmed.ncbi.nlm.nih.gov/42741819/</w:t>
      </w:r>
    </w:p>
    <w:p>
      <w:pPr>
        <w:pStyle w:val="Heading1"/>
      </w:pPr>
      <w:r>
        <w:t>Aufgenommen am 16.09.2026</w:t>
      </w:r>
    </w:p>
    <w:p>
      <w:pPr>
        <w:pStyle w:val="Heading2"/>
      </w:pPr>
      <w:r>
        <w:t>Infektionsprävention im Kreißsaal: Motivation schlägt Ressourcenmangel</w:t>
      </w:r>
    </w:p>
    <w:p>
      <w:r>
        <w:rPr>
          <w:i/>
          <w:color w:val="666666"/>
          <w:sz w:val="18"/>
        </w:rPr>
        <w:t>Riches JM et al.  ·  BMJ Glob Health  ·  15.09.2026  ·  PMID 42744564</w:t>
      </w:r>
    </w:p>
    <w:p>
      <w:r>
        <w:t>Mixed-Methods-Studie in drei Kreißsälen in Malawi identifizierte Barrieren und Förderfaktoren für Infektionsprävention vor Kaiserschnitt, um eine Verhaltensintervention zu entwickeln.</w:t>
      </w:r>
    </w:p>
    <w:p>
      <w:r>
        <w:rPr>
          <w:b/>
        </w:rPr>
        <w:t xml:space="preserve">Ergebnis: </w:t>
      </w:r>
      <w:r>
        <w:t>Beobachtung zeigte erhebliche Lücken in Händehygiene, aseptischer Technik und sterilem Arbeiten. Ressourcenmangel wirkte direkt und indirekt als Barriere durch Auswirkung auf Motivation. "Passion" für Patienten, regelmäßige Supervision und "Reminders" waren Förderfaktoren. Indirekte Motivation spielte eine ebenso wichtige Rolle wie verfügbare Ressourcen.</w:t>
      </w:r>
    </w:p>
    <w:p>
      <w:r>
        <w:rPr>
          <w:b/>
          <w:sz w:val="19"/>
        </w:rPr>
        <w:t xml:space="preserve">Übertragbarkeit: </w:t>
      </w:r>
      <w:r>
        <w:rPr>
          <w:sz w:val="19"/>
        </w:rPr>
        <w:t>Malawi, Erkenntnisse für Implementierungsforschung zur Verhaltensänderung</w:t>
      </w:r>
    </w:p>
    <w:p>
      <w:r>
        <w:rPr>
          <w:color w:val="5A7D3A"/>
          <w:sz w:val="18"/>
        </w:rPr>
        <w:t>https://pubmed.ncbi.nlm.nih.gov/42744564/</w:t>
      </w:r>
    </w:p>
    <w:p>
      <w:pPr>
        <w:pStyle w:val="Heading2"/>
      </w:pPr>
      <w:r>
        <w:t>"Zweites Opfer" in Gesundheitsberufen: physische, mentale und berufliche Schäden</w:t>
      </w:r>
    </w:p>
    <w:p>
      <w:r>
        <w:rPr>
          <w:i/>
          <w:color w:val="666666"/>
          <w:sz w:val="18"/>
        </w:rPr>
        <w:t>Vianna Gonçalves da Costa ECDC et al.  ·  PLoS One  ·  15.09.2026  ·  PMID 42743379</w:t>
      </w:r>
    </w:p>
    <w:p>
      <w:r>
        <w:t>Scoping Review untersuchte psychische, physische, berufliche und soziale Folgen des "Zweiten-Opfer"-Phänomens (psychische Traumatisierung von Fachpersonen nach Behandlungsfehlern) in 37 Publikationen aus 2009-2024.</w:t>
      </w:r>
    </w:p>
    <w:p>
      <w:r>
        <w:rPr>
          <w:b/>
        </w:rPr>
        <w:t xml:space="preserve">Ergebnis: </w:t>
      </w:r>
      <w:r>
        <w:t>Überwiegend qualitative Studien (n=14), hospitales Umfeld (n=25), Pflege am meisten erforscht (n=27). 39 Auswirkungen wurden kartografiert: psychische Dimension identifizierte Suizidgedanken als Risiko. Berufliche Dimension mit höchster Anzahl von Folgen (Kündigungen, Karriereverlust). Studie belegt starke Beziehung zwischen Fehlertraumatisierung und Arbeiter-Sicherheit.</w:t>
      </w:r>
    </w:p>
    <w:p>
      <w:r>
        <w:rPr>
          <w:b/>
          <w:sz w:val="19"/>
        </w:rPr>
        <w:t xml:space="preserve">Übertragbarkeit: </w:t>
      </w:r>
      <w:r>
        <w:rPr>
          <w:sz w:val="19"/>
        </w:rPr>
        <w:t>Globale Evidenz aus 22 Ländern, Pflegefokus, Implementierung notwendig</w:t>
      </w:r>
    </w:p>
    <w:p>
      <w:r>
        <w:rPr>
          <w:color w:val="5A7D3A"/>
          <w:sz w:val="18"/>
        </w:rPr>
        <w:t>https://pubmed.ncbi.nlm.nih.gov/42743379/</w:t>
      </w:r>
    </w:p>
    <w:p>
      <w:pPr>
        <w:pStyle w:val="Heading2"/>
      </w:pPr>
      <w:r>
        <w:t>ESBL-Kolonisierungsdruck erhöht Infektionsrisiko auf Neugeborenen-Stationen</w:t>
      </w:r>
    </w:p>
    <w:p>
      <w:r>
        <w:rPr>
          <w:i/>
          <w:color w:val="666666"/>
          <w:sz w:val="18"/>
        </w:rPr>
        <w:t>Cook A et al.  ·  JAMA Netw Open  ·  01.09.2026  ·  PMID 42742944</w:t>
      </w:r>
    </w:p>
    <w:p>
      <w:r>
        <w:t>Multizenterstudie an 24 europäischen Neonatalstationen untersuchte, ob die Kolonisierungsdichte mit ESBL-tragenden Bakterien das Risiko für Neugeborene, selbst eine ESBL-Infektion zu entwickeln, beeinflusst.</w:t>
      </w:r>
    </w:p>
    <w:p>
      <w:r>
        <w:rPr>
          <w:b/>
        </w:rPr>
        <w:t xml:space="preserve">Ergebnis: </w:t>
      </w:r>
      <w:r>
        <w:t>Eine Zunahme der Kolonisierungsdruck um 10 % war mit erhöhter Übernahmequote assoziiert (OR 1,89 bei 4-Tage-Abstand, 95%-KI 1,22-2,94; OR 1,76 bei 7 Tagen, 95%-KI 1,26-2,63; OR 1,73 bei 14 Tagen, 95%-KI 1,15-2,52). Maßnahmen auf Stationsebene könnten direkte und indirekte Vorteile bringen.</w:t>
      </w:r>
    </w:p>
    <w:p>
      <w:r>
        <w:rPr>
          <w:b/>
          <w:sz w:val="19"/>
        </w:rPr>
        <w:t xml:space="preserve">Übertragbarkeit: </w:t>
      </w:r>
      <w:r>
        <w:rPr>
          <w:sz w:val="19"/>
        </w:rPr>
        <w:t>Acht europäische Länder, deutschsprachige Einrichtungen vergleichbar</w:t>
      </w:r>
    </w:p>
    <w:p>
      <w:r>
        <w:rPr>
          <w:color w:val="5A7D3A"/>
          <w:sz w:val="18"/>
        </w:rPr>
        <w:t>https://pubmed.ncbi.nlm.nih.gov/42742944/</w:t>
      </w:r>
    </w:p>
    <w:p>
      <w:pPr>
        <w:pStyle w:val="Heading2"/>
      </w:pPr>
      <w:r>
        <w:t>Psychische und kontextuelle Faktoren treiben Infektionsprävention mehr als Wissen</w:t>
      </w:r>
    </w:p>
    <w:p>
      <w:r>
        <w:rPr>
          <w:i/>
          <w:color w:val="666666"/>
          <w:sz w:val="18"/>
        </w:rPr>
        <w:t>Ventura F et al.  ·  Glob Health Action  ·  15.09.2026  ·  PMID 42742348</w:t>
      </w:r>
    </w:p>
    <w:p>
      <w:r>
        <w:t>Evaluierung des kulturell adaptierten InovSafeCare-Modells zur Infektionsprävention und -kontrolle bei 486 Pflegestudierenden in vier Instituten in Tansania und Madagaskar mit Fragebogen und Pfadanalyse.</w:t>
      </w:r>
    </w:p>
    <w:p>
      <w:r>
        <w:rPr>
          <w:b/>
        </w:rPr>
        <w:t xml:space="preserve">Ergebnis: </w:t>
      </w:r>
      <w:r>
        <w:t>10-Faktor-Lösung erklärt 52,1 % der Varianz (Cronbachs α: 0,64-0,88). Strukturmodell zeigt akzeptable Passung (CFI=0,88; RMSEA=0,097). Kein direkter Zusammenhang zwischen Bildung und Adhärenz, stattdessen vermittelter Effekt über Motivation, Erwartungen, Skepsis, Umweltkomplexität und Überlastung. Modell erklärt 18,9 % der Varianz in Adhärenz. Psychische und kontextuelle Mediatoren sind kritisch.</w:t>
      </w:r>
    </w:p>
    <w:p>
      <w:r>
        <w:rPr>
          <w:b/>
          <w:sz w:val="19"/>
        </w:rPr>
        <w:t xml:space="preserve">Übertragbarkeit: </w:t>
      </w:r>
      <w:r>
        <w:rPr>
          <w:sz w:val="19"/>
        </w:rPr>
        <w:t>Sub-Sahara-Afrika, valides Messinstrument für Implementierungsforschung</w:t>
      </w:r>
    </w:p>
    <w:p>
      <w:r>
        <w:rPr>
          <w:color w:val="5A7D3A"/>
          <w:sz w:val="18"/>
        </w:rPr>
        <w:t>https://pubmed.ncbi.nlm.nih.gov/42742348/</w:t>
      </w:r>
    </w:p>
    <w:p>
      <w:pPr>
        <w:pStyle w:val="Heading2"/>
      </w:pPr>
      <w:r>
        <w:t>Landiolol senkt Herzfrequenz bei Sepsis mit neuem Vorhofflimmern sicher</w:t>
      </w:r>
    </w:p>
    <w:p>
      <w:r>
        <w:rPr>
          <w:i/>
          <w:color w:val="666666"/>
          <w:sz w:val="18"/>
        </w:rPr>
        <w:t>Guarracino F et al.  ·  Crit Care  ·  07.08.2026  ·  PMID 42736570</w:t>
      </w:r>
    </w:p>
    <w:p>
      <w:r>
        <w:t>Europäischer Delphi-Konsens von neun Intensivmedizinern und Kardiologen untersuchte, wie man Vorhofflimmern bei septischem Schock mit Herzfrequenzkontrolle managen sollte, mit Fokus auf den ultraselektiven β₁-Blocker Landiolol.</w:t>
      </w:r>
    </w:p>
    <w:p>
      <w:r>
        <w:rPr>
          <w:b/>
        </w:rPr>
        <w:t xml:space="preserve">Ergebnis: </w:t>
      </w:r>
      <w:r>
        <w:t>70,9 % der 55 Aussagen erreichten Konsens (≥80 % Übereinstimmung). Landiolol wurde für HR-Kontrolle bei ausgewählten Sepsis-Patienten empfohlen: ohne Bolus starten, niedrig titrieren, Ziel &lt;110 bpm mit engem hämodynamischen Monitoring. Kein Konsens zu optimaler Dauer oder Einsatz bei schwerer Ventrikeldysfunktion.</w:t>
      </w:r>
    </w:p>
    <w:p>
      <w:r>
        <w:rPr>
          <w:b/>
          <w:sz w:val="19"/>
        </w:rPr>
        <w:t xml:space="preserve">Übertragbarkeit: </w:t>
      </w:r>
      <w:r>
        <w:rPr>
          <w:sz w:val="19"/>
        </w:rPr>
        <w:t>Deutschland, Österreich, Frankreich, europäisches Konsens-Verfahren</w:t>
      </w:r>
    </w:p>
    <w:p>
      <w:r>
        <w:rPr>
          <w:color w:val="5A7D3A"/>
          <w:sz w:val="18"/>
        </w:rPr>
        <w:t>https://pubmed.ncbi.nlm.nih.gov/42736570/</w:t>
      </w:r>
    </w:p>
    <w:p>
      <w:pPr>
        <w:pStyle w:val="Heading2"/>
      </w:pPr>
      <w:r>
        <w:t>Serum-Meprin α identifiziert SIRS-Patienten zuverlässiger als klassische Parameter</w:t>
      </w:r>
    </w:p>
    <w:p>
      <w:r>
        <w:rPr>
          <w:i/>
          <w:color w:val="666666"/>
          <w:sz w:val="18"/>
        </w:rPr>
        <w:t>Beckinger S et al.  ·  Mol Med  ·  18.07.2026  ·  PMID 42471588</w:t>
      </w:r>
    </w:p>
    <w:p>
      <w:r>
        <w:t>Studie mit Transgen-Mausmodell und Intensivpatienten untersuchte, ob das Metalloprotease Meprin α als Biomarker für systemische Entzündungsreaktion (SIRS) taugt.</w:t>
      </w:r>
    </w:p>
    <w:p>
      <w:r>
        <w:rPr>
          <w:b/>
        </w:rPr>
        <w:t xml:space="preserve">Ergebnis: </w:t>
      </w:r>
      <w:r>
        <w:t>K5Mα-Mäuse entwickelten tödliche SIRS mit Hypothermie, Gewichtsverlust, Anämie und Zytokinsturm. Serum-Meprin-α-Spiegel korrelierten mit Krankheitsverlauf. Hohe Meprin-α-Spiegel waren bei allen SIRS-Patienten (n=19) nachweisbar, aber bei keinem Non-SIRS-Patienten (n=29). Meprin α korrelierte mit C-reaktivem Protein, Procalcitonin und Leukozyten, erlaubte aber klare Unterscheidung von SIRS.</w:t>
      </w:r>
    </w:p>
    <w:p>
      <w:r>
        <w:rPr>
          <w:b/>
          <w:sz w:val="19"/>
        </w:rPr>
        <w:t xml:space="preserve">Übertragbarkeit: </w:t>
      </w:r>
      <w:r>
        <w:rPr>
          <w:sz w:val="19"/>
        </w:rPr>
        <w:t>Deutschland, kleine Kohorte, größere Multizenterstudie notwendig</w:t>
      </w:r>
    </w:p>
    <w:p>
      <w:r>
        <w:rPr>
          <w:color w:val="5A7D3A"/>
          <w:sz w:val="18"/>
        </w:rPr>
        <w:t>https://pubmed.ncbi.nlm.nih.gov/42471588/</w:t>
      </w:r>
    </w:p>
    <w:p>
      <w:pPr>
        <w:pStyle w:val="Heading1"/>
      </w:pPr>
      <w:r>
        <w:t>Aufgenommen am 15.09.2026</w:t>
      </w:r>
    </w:p>
    <w:p>
      <w:pPr>
        <w:pStyle w:val="Heading2"/>
      </w:pPr>
      <w:r>
        <w:t>Notfalldesinfektion von Einmalmedizinprodukten: Peressigsäure und Ethanol reduzierten Keime um über 90 %</w:t>
      </w:r>
    </w:p>
    <w:p>
      <w:r>
        <w:rPr>
          <w:i/>
          <w:color w:val="666666"/>
          <w:sz w:val="18"/>
        </w:rPr>
        <w:t>Chevalley K et al.  ·  Prehosp Disaster Med  ·  14.09.2026  ·  PMID 42734164</w:t>
      </w:r>
    </w:p>
    <w:p>
      <w:r>
        <w:t>Bei Versorgungsengpässen wurden klinisch genutzte Einmalmedizinprodukte (Tuben, Masken, Katheter) mit Peressigsäure, 70%-Ethanol oder Spülmittel gereinigt und dann auf Keimbelastung sowie funktionelle Integrität getestet.</w:t>
      </w:r>
    </w:p>
    <w:p>
      <w:r>
        <w:rPr>
          <w:b/>
        </w:rPr>
        <w:t xml:space="preserve">Ergebnis: </w:t>
      </w:r>
      <w:r>
        <w:t>Alle drei Mittel reduzierten die bakterielle Belastung statistisch signifikant (p&lt;0,05), ohne strukturelle Schäden zu verursachen. H. influenzae und S. aureus waren vor Reinigung in 47 % der Atemwegsgeräte nachweisbar, danach in keiner Probe. Methode ersetzt kein validiertes Sterilisationsverfahren, könnte aber Notfall-Letztresort sein.</w:t>
      </w:r>
    </w:p>
    <w:p>
      <w:r>
        <w:rPr>
          <w:b/>
          <w:sz w:val="19"/>
        </w:rPr>
        <w:t xml:space="preserve">Übertragbarkeit: </w:t>
      </w:r>
      <w:r>
        <w:rPr>
          <w:sz w:val="19"/>
        </w:rPr>
        <w:t>Schweden, mit Kriegsszenario relevante Szene; Methoden sind auch in Deutschland anwendbar, für Lagerhaltung im Krisenfall zu prüfen.</w:t>
      </w:r>
    </w:p>
    <w:p>
      <w:r>
        <w:rPr>
          <w:color w:val="5A7D3A"/>
          <w:sz w:val="18"/>
        </w:rPr>
        <w:t>https://pubmed.ncbi.nlm.nih.gov/42734164/</w:t>
      </w:r>
    </w:p>
    <w:p>
      <w:pPr>
        <w:pStyle w:val="Heading2"/>
      </w:pPr>
      <w:r>
        <w:t>Sicherheitspläne für psychiatrische Patienten: Zahl stieg, aber Qualität blieb niedrig (7,67 von 22 Punkten)</w:t>
      </w:r>
    </w:p>
    <w:p>
      <w:r>
        <w:rPr>
          <w:i/>
          <w:color w:val="666666"/>
          <w:sz w:val="18"/>
        </w:rPr>
        <w:t>Farmer E et al.  ·  Int J Ment Health Nurs  ·  Okt. 2026  ·  PMID 42725545</w:t>
      </w:r>
    </w:p>
    <w:p>
      <w:r>
        <w:t>Ein australisches Spital führte Schulung für strukturierte Sicherheitspläne bei entlassungsreifen psychiatrischen Patienten ein und untersuchte Implementierungsbefunde und Qualität.</w:t>
      </w:r>
    </w:p>
    <w:p>
      <w:r>
        <w:rPr>
          <w:b/>
        </w:rPr>
        <w:t xml:space="preserve">Ergebnis: </w:t>
      </w:r>
      <w:r>
        <w:t>Zahl der erstellten Pläne nahm zu. Durchschnittliche Qualität aber niedrig (7,67 Punkte auf 22-Punkte-Skala). Qualitative Befunde ergaben Barrieren: Zeitdruck, unzureichende Schulung, Procedural Drift. Fachkräfte und Patienten erwähnten Wert, aber fehlende Komponenten (Frühwarnzeichen, Bewältigungsmechanismen, externe Ressourcen, Mittelzugang).</w:t>
      </w:r>
    </w:p>
    <w:p>
      <w:r>
        <w:rPr>
          <w:b/>
          <w:sz w:val="19"/>
        </w:rPr>
        <w:t xml:space="preserve">Übertragbarkeit: </w:t>
      </w:r>
      <w:r>
        <w:rPr>
          <w:sz w:val="19"/>
        </w:rPr>
        <w:t>Australien, Struktur übertragbar; zeigt Implementierungs-Compliance-Problem: Prozess läuft, Qualität nicht.</w:t>
      </w:r>
    </w:p>
    <w:p>
      <w:r>
        <w:rPr>
          <w:color w:val="5A7D3A"/>
          <w:sz w:val="18"/>
        </w:rPr>
        <w:t>https://pubmed.ncbi.nlm.nih.gov/42725545/</w:t>
      </w:r>
    </w:p>
    <w:p>
      <w:pPr>
        <w:pStyle w:val="Heading2"/>
      </w:pPr>
      <w:r>
        <w:t>Hand- und Handybelastung von Klinikpersonal: Keimabstrichkulturen zeigen positive Assoziation, aber nur teilweise Übereinstimmung</w:t>
      </w:r>
    </w:p>
    <w:p>
      <w:r>
        <w:rPr>
          <w:i/>
          <w:color w:val="666666"/>
          <w:sz w:val="18"/>
        </w:rPr>
        <w:t>Jiang W et al.  ·  Front Cell Infect Microbiol  ·  26.08.2026  ·  PMID 42718797</w:t>
      </w:r>
    </w:p>
    <w:p>
      <w:r>
        <w:t>In einer chinesischen Klinik wurden an 126 Ärzte, Pfleger und Helfer gepaarte Handabstriche und Handyoberflächen-Kulturen genommen, um Kontamination und Übertragungspotential zu charakterisieren.</w:t>
      </w:r>
    </w:p>
    <w:p>
      <w:r>
        <w:rPr>
          <w:b/>
        </w:rPr>
        <w:t xml:space="preserve">Ergebnis: </w:t>
      </w:r>
      <w:r>
        <w:t>Mittlere Handbelastung 11,67 CFU/cm² (IQR 1,67–54,17), Handys 950 CFU (IQR 300–2575). Positive Spearman-Korrelation (rho=0,514, p&lt;0,001). Mediale Jaccard-Ähnlichkeit 0,50, durchschnittlich 1 gemeinsamer Keim pro Paar. Koagulase-negative Staphylokokken einzige signifikante diskordante Detektion.</w:t>
      </w:r>
    </w:p>
    <w:p>
      <w:r>
        <w:rPr>
          <w:b/>
          <w:sz w:val="19"/>
        </w:rPr>
        <w:t xml:space="preserve">Übertragbarkeit: </w:t>
      </w:r>
      <w:r>
        <w:rPr>
          <w:sz w:val="19"/>
        </w:rPr>
        <w:t>China, aber Handkeim-Epidemiologie universal; Hinweis: Hände und Handys sind nicht synchron kontaminiert – erfordert separate Hygienemaßnahmen.</w:t>
      </w:r>
    </w:p>
    <w:p>
      <w:r>
        <w:rPr>
          <w:color w:val="5A7D3A"/>
          <w:sz w:val="18"/>
        </w:rPr>
        <w:t>https://pubmed.ncbi.nlm.nih.gov/42718797/</w:t>
      </w:r>
    </w:p>
    <w:p>
      <w:pPr>
        <w:pStyle w:val="Heading2"/>
      </w:pPr>
      <w:r>
        <w:t>NHS-Fehlermeldesystem: Gesetzliche Haftungsregeln beeinflussen, was gemeldet wird und was daraus folgt</w:t>
      </w:r>
    </w:p>
    <w:p>
      <w:r>
        <w:rPr>
          <w:i/>
          <w:color w:val="666666"/>
          <w:sz w:val="18"/>
        </w:rPr>
        <w:t>Tingle J  ·  Br J Nurs  ·  06.08.2026  ·  PMID 42555592</w:t>
      </w:r>
    </w:p>
    <w:p>
      <w:r>
        <w:t>Britischer Rechtswissenschaftler analysiert aktuelle NHS-Resolution-Berichte zur Meldekultur und Entschädigungssystematik im englischen Gesundheitswesen.</w:t>
      </w:r>
    </w:p>
    <w:p>
      <w:r>
        <w:rPr>
          <w:b/>
        </w:rPr>
        <w:t xml:space="preserve">Ergebnis: </w:t>
      </w:r>
      <w:r>
        <w:t>Britisches System nutzt kein Schuldprinzip wie Deutschland (§ 630h BGB Umkehr), sondern klärt durch NHS Resolution (Haftung bei diagnostizierbarem Schaden). Meldezahlen daher nicht mit Deutschland vergleichbar. Unterschiede in Entschädigung (no-fault-Prinzipien England vs. Schuldnachweis Deutschland) bestimmen, welche Fehler gemeldet und entschädigt werden.</w:t>
      </w:r>
    </w:p>
    <w:p>
      <w:r>
        <w:rPr>
          <w:b/>
          <w:sz w:val="19"/>
        </w:rPr>
        <w:t xml:space="preserve">Übertragbarkeit: </w:t>
      </w:r>
      <w:r>
        <w:rPr>
          <w:sz w:val="19"/>
        </w:rPr>
        <w:t>Großbritannien/England – Haftungssystem (Entschädigung ohne Schuldnachweis) fundamental anders als Deutschland; Transfer-Vorsicht wegen Meldevergleichbarkeit.</w:t>
      </w:r>
    </w:p>
    <w:p>
      <w:r>
        <w:rPr>
          <w:color w:val="5A7D3A"/>
          <w:sz w:val="18"/>
        </w:rPr>
        <w:t>https://pubmed.ncbi.nlm.nih.gov/42555592/</w:t>
      </w:r>
    </w:p>
    <w:p>
      <w:pPr>
        <w:pStyle w:val="Heading2"/>
      </w:pPr>
      <w:r>
        <w:t>After Action Review verbesser­te Fehlerkultur in irischem Spital, nicht aber Sekundärtraumata von Mitarbeitern</w:t>
      </w:r>
    </w:p>
    <w:p>
      <w:r>
        <w:rPr>
          <w:i/>
          <w:color w:val="666666"/>
          <w:sz w:val="18"/>
        </w:rPr>
        <w:t>McCarthy SE et al.  ·  BMC Health Serv Res  ·  15.07.2026  ·  PMID 42458452</w:t>
      </w:r>
    </w:p>
    <w:p>
      <w:r>
        <w:t>Ein irisches Universitätsspital führte Simulation-basiertes Training in After Action Review (AAR) durch und untersuchte, ob dies die Patientensicherheitskultur (HSOPS 2.0) und das Wohlbefinden von Mitarbeitern (SVEST) nach 12 Monaten verbessert.</w:t>
      </w:r>
    </w:p>
    <w:p>
      <w:r>
        <w:rPr>
          <w:b/>
        </w:rPr>
        <w:t xml:space="preserve">Ergebnis: </w:t>
      </w:r>
      <w:r>
        <w:t>37 % des Personals kannte AAR, 10 % nahmen teil. 39 AAR-Sitzungen wurden durchgeführt (Kosten durchschnittlich 48 Euro). Gesamtsicherheitskultur stieg nicht an (33 % vs. 16 % Responserate, Fallzahl n=586). Aber: Reaktion auf Fehler verbesserte sich (mit AAR-Teilnahme assoziiert). Psychisches und physisches Wohlbefinden der Mitarbeiter verschlechterte sich, ebenso berufliche Selbstwirksamkeit.</w:t>
      </w:r>
    </w:p>
    <w:p>
      <w:r>
        <w:rPr>
          <w:b/>
          <w:sz w:val="19"/>
        </w:rPr>
        <w:t xml:space="preserve">Übertragbarkeit: </w:t>
      </w:r>
      <w:r>
        <w:rPr>
          <w:sz w:val="19"/>
        </w:rPr>
        <w:t>Irland, vergleichbare Meldekultur; AAR-Struktur ist deutsch übertragbar, Resultate aber ernüchternd.</w:t>
      </w:r>
    </w:p>
    <w:p>
      <w:r>
        <w:rPr>
          <w:color w:val="5A7D3A"/>
          <w:sz w:val="18"/>
        </w:rPr>
        <w:t>https://pubmed.ncbi.nlm.nih.gov/42458452/</w:t>
      </w:r>
    </w:p>
    <w:p>
      <w:pPr>
        <w:pStyle w:val="Heading2"/>
      </w:pPr>
      <w:r>
        <w:t>Öffentlichkeit überschätzte Antidepressiva-Wirkung um 11 Punkte (MADRS) und unterschätzte Nebenwirkungshäufigkeit</w:t>
      </w:r>
    </w:p>
    <w:p>
      <w:r>
        <w:rPr>
          <w:i/>
          <w:color w:val="666666"/>
          <w:sz w:val="18"/>
        </w:rPr>
        <w:t>Apel K et al.  ·  Sci Rep  ·  15.07.2026  ·  PMID 42457810</w:t>
      </w:r>
    </w:p>
    <w:p>
      <w:r>
        <w:t>Deutsche Querschnittsstudie (208 Personen mit und ohne Depressionserfahrung) mithilfe von Fallszenarien und normierten Bewertungs­skalen: Wie wirksam müssen Antidepressiva sein, um Nebenwirkungen zu tolerieren.</w:t>
      </w:r>
    </w:p>
    <w:p>
      <w:r>
        <w:rPr>
          <w:b/>
        </w:rPr>
        <w:t xml:space="preserve">Ergebnis: </w:t>
      </w:r>
      <w:r>
        <w:t>Antidepressiva-Wirkung wurde signifikant überschätzt (t(204)=8,96, p&lt;0,001, d=0,63, 11 MADRS-Punkte über echte Rate). Bei 13 von 15 abgefragten Nebenwirkungen wurden Häufigkeiten unterschätzt. Beispiel: Um Anfallsrisiko zu akzeptieren, forderten Befragte Symptomverbesserung um 23,51±8,82 MADRS-Punkte. Diskrepanz zwischen Erwartung und evidenzbasierter Information erheblich.</w:t>
      </w:r>
    </w:p>
    <w:p>
      <w:r>
        <w:rPr>
          <w:b/>
          <w:sz w:val="19"/>
        </w:rPr>
        <w:t xml:space="preserve">Übertragbarkeit: </w:t>
      </w:r>
      <w:r>
        <w:rPr>
          <w:sz w:val="19"/>
        </w:rPr>
        <w:t>Deutschland (Erlangen), direkt anwendbar; zeigt Beratungslücke: Patient-Arzt-Kommunikation muss Risiken explicit adressieren.</w:t>
      </w:r>
    </w:p>
    <w:p>
      <w:r>
        <w:rPr>
          <w:color w:val="5A7D3A"/>
          <w:sz w:val="18"/>
        </w:rPr>
        <w:t>https://pubmed.ncbi.nlm.nih.gov/42457810/</w:t>
      </w:r>
    </w:p>
    <w:p>
      <w:pPr>
        <w:pStyle w:val="Heading1"/>
      </w:pPr>
      <w:r>
        <w:t>Aufgenommen am 14.09.2026</w:t>
      </w:r>
    </w:p>
    <w:p>
      <w:pPr>
        <w:pStyle w:val="Heading2"/>
      </w:pPr>
      <w:r>
        <w:t>Digitale Risikovorhersage-Tools für Medikationsschaden: Klinikerperspektiven zu Adoptionsbarrieren</w:t>
      </w:r>
    </w:p>
    <w:p>
      <w:r>
        <w:rPr>
          <w:i/>
          <w:color w:val="666666"/>
          <w:sz w:val="18"/>
        </w:rPr>
        <w:t>Lam JYJ et al.  ·  J Eval Clin Pract  ·  Sept. 2026  ·  PMID 42732558</w:t>
      </w:r>
    </w:p>
    <w:p>
      <w:r>
        <w:t>Qualitative Studie mit 22 semi-strukturierten Interviews (6 Ärzte, 11 Apotheker, 5 Informatiker) an drei australischen Krankenhäusern: Barrieren und Enabler für die Implementierung digitaler Risikovorhersage-Tools (RPTs) zur Medikationssicherheit.</w:t>
      </w:r>
    </w:p>
    <w:p>
      <w:r>
        <w:rPr>
          <w:b/>
        </w:rPr>
        <w:t xml:space="preserve">Ergebnis: </w:t>
      </w:r>
      <w:r>
        <w:t>Fünf Themen identifiziert: Kliniker-Vertrauen, wahrgenommener Nutzen, organisationale Bereitschaft, Workflow-Integration, Zuverlässigkeit. Gewünschte Merkmale: Automatisierung, Feedback-Funktionalität, Workflow-Kompatibilität. Enablers: umfassendes Feedback, Ressourcentplanung. Barrieren: unzureichende Systemintegration, Tool-Zuverlässigkeitsunsicherheit. 85 % erkannten Wert für Medikationssicherheit.</w:t>
      </w:r>
    </w:p>
    <w:p>
      <w:r>
        <w:rPr>
          <w:b/>
          <w:sz w:val="19"/>
        </w:rPr>
        <w:t xml:space="preserve">Übertragbarkeit: </w:t>
      </w:r>
      <w:r>
        <w:rPr>
          <w:sz w:val="19"/>
        </w:rPr>
        <w:t>Australien, Sozialversicherungssystem unterschiedlich, Implementierungs-Ergebnisse gelten konzeptuell</w:t>
      </w:r>
    </w:p>
    <w:p>
      <w:r>
        <w:rPr>
          <w:color w:val="5A7D3A"/>
          <w:sz w:val="18"/>
        </w:rPr>
        <w:t>https://pubmed.ncbi.nlm.nih.gov/42732558/</w:t>
      </w:r>
    </w:p>
    <w:p>
      <w:pPr>
        <w:pStyle w:val="Heading2"/>
      </w:pPr>
      <w:r>
        <w:t>Frühe Erkennung und Behandlung von CAR-T- und VST-Zelltherapie-Komplikationen: Klinische Leitlinie</w:t>
      </w:r>
    </w:p>
    <w:p>
      <w:r>
        <w:rPr>
          <w:i/>
          <w:color w:val="666666"/>
          <w:sz w:val="18"/>
        </w:rPr>
        <w:t>Ussowicz M et al.  ·  Front Immunol  ·  28.08.2026  ·  PMID 42729916</w:t>
      </w:r>
    </w:p>
    <w:p>
      <w:r>
        <w:t>Narrative Übersicht mit aktualisierten Empfehlungen zur Erkennung und Behandlung früher Toxizitätsprofile nach CAR-T-Zelltherapie und virusspezifischen T-Lymphozyten, basierend auf validierten Grading-Kriterien.</w:t>
      </w:r>
    </w:p>
    <w:p>
      <w:r>
        <w:rPr>
          <w:b/>
        </w:rPr>
        <w:t xml:space="preserve">Ergebnis: </w:t>
      </w:r>
      <w:r>
        <w:t>CRS wird nach ASTCT-Kriterien klassifiziert, Tocilizumab ist Erst-Therapie. Steroid-refraktäre ICANS wird mit hochdosiertem intravenösem Anakinra (bis 12 mg/kg/Tag) behandelt – derzeit best-studied second-line-Option. ICAHT nutzt validiertes EHA/EBMT-Framework (früh Tag 0–30, spät &gt;Tag 30). Übersicht nennt konkrete Monitoreintervalle, ICU-Eskalationskriterien und differenziell-diagnostische Ansätze.</w:t>
      </w:r>
    </w:p>
    <w:p>
      <w:r>
        <w:rPr>
          <w:b/>
          <w:sz w:val="19"/>
        </w:rPr>
        <w:t xml:space="preserve">Übertragbarkeit: </w:t>
      </w:r>
      <w:r>
        <w:rPr>
          <w:sz w:val="19"/>
        </w:rPr>
        <w:t>Europäische und internationale Praxis; Empfehlungen sind versorgungssystemunabhängig</w:t>
      </w:r>
    </w:p>
    <w:p>
      <w:r>
        <w:rPr>
          <w:color w:val="5A7D3A"/>
          <w:sz w:val="18"/>
        </w:rPr>
        <w:t>https://pubmed.ncbi.nlm.nih.gov/42729916/</w:t>
      </w:r>
    </w:p>
    <w:p>
      <w:pPr>
        <w:pStyle w:val="Heading2"/>
      </w:pPr>
      <w:r>
        <w:t>Multidimensionales Nomogramm zur Stratifizierung des Blutinfektionsrisikos bei Hämatologischen Malignitäten</w:t>
      </w:r>
    </w:p>
    <w:p>
      <w:r>
        <w:rPr>
          <w:i/>
          <w:color w:val="666666"/>
          <w:sz w:val="18"/>
        </w:rPr>
        <w:t>Lan L et al.  ·  Front Cell Infect Microbiol  ·  27.08.2026  ·  PMID 42723754</w:t>
      </w:r>
    </w:p>
    <w:p>
      <w:r>
        <w:t>Retrospektive Kohortenstudie mit 3014 Patienten mit hämatologischen Malignitäten: Entwicklung eines Prognosemodells zur Vorhersage von Blutinfektionen und 90-Tage-Mortalität.</w:t>
      </w:r>
    </w:p>
    <w:p>
      <w:r>
        <w:rPr>
          <w:b/>
        </w:rPr>
        <w:t xml:space="preserve">Ergebnis: </w:t>
      </w:r>
      <w:r>
        <w:t>Das Modell für Blutinfektion erreichte AUC 0,775 (Ableitungskohorte) und 0,761 (Validierungskohorte); das Mortalitätsmodell C-Index von 0,721 bzw. 0,713. Neutrophilenzahl ≤0,5 × 10⁹/L erhielt höchste Punkt-Allokation. Polymikrobielle Infektionen zeigten höchste Gewichtung im Mortalitätsmodell. Beide Modelle zeigten akzeptable Kalibrierung.</w:t>
      </w:r>
    </w:p>
    <w:p>
      <w:r>
        <w:rPr>
          <w:b/>
          <w:sz w:val="19"/>
        </w:rPr>
        <w:t xml:space="preserve">Übertragbarkeit: </w:t>
      </w:r>
      <w:r>
        <w:rPr>
          <w:sz w:val="19"/>
        </w:rPr>
        <w:t>China, ähnliche Versorgungsstrukturen in Universitätskliniken; externe Validierung erforderlich</w:t>
      </w:r>
    </w:p>
    <w:p>
      <w:r>
        <w:rPr>
          <w:color w:val="5A7D3A"/>
          <w:sz w:val="18"/>
        </w:rPr>
        <w:t>https://pubmed.ncbi.nlm.nih.gov/42723754/</w:t>
      </w:r>
    </w:p>
    <w:p>
      <w:pPr>
        <w:pStyle w:val="Heading2"/>
      </w:pPr>
      <w:r>
        <w:t>Risikoadjustierung bei Medicare-Advantage mit Encounter-Daten: HCC-Modell-Rekalibrierung</w:t>
      </w:r>
    </w:p>
    <w:p>
      <w:r>
        <w:rPr>
          <w:i/>
          <w:color w:val="666666"/>
          <w:sz w:val="18"/>
        </w:rPr>
        <w:t>Carlin CS et al.  ·  Health Serv Res  ·  Okt. 2026  ·  PMID 42720268</w:t>
      </w:r>
    </w:p>
    <w:p>
      <w:r>
        <w:t>Vergleichende Analyse US-amerikanischer Claims: Replizierung des CMS Hierarchical Condition Category (HCC) Risikomodells mit Traditional Medicare (TM) und Medicare Advantage (MA) Daten 2016–2022; Test der Auswirkungen auf Zahlungsanpassungen.</w:t>
      </w:r>
    </w:p>
    <w:p>
      <w:r>
        <w:rPr>
          <w:b/>
        </w:rPr>
        <w:t xml:space="preserve">Ergebnis: </w:t>
      </w:r>
      <w:r>
        <w:t>MA-basierte HCC-Scores waren 8,9 % niedriger als TM-basierte (p &lt; 0,001). TM-Daten aus 2016–2022 führten zu 1,7 % niedrigeren durchschnittlichen Scores vs. CMS-Standard (2018–2019). Koeffizient-Trends bei steigenden Diagnose-Prävalenzen waren verdünnt. Unterschiede zwischen MA und TM variierten über die Score-Verteilung. Rassische/ethnische oder ländliche Unterschiede in Enrollmentinzentiven entstanden nicht.</w:t>
      </w:r>
    </w:p>
    <w:p>
      <w:r>
        <w:rPr>
          <w:b/>
          <w:sz w:val="19"/>
        </w:rPr>
        <w:t xml:space="preserve">Übertragbarkeit: </w:t>
      </w:r>
      <w:r>
        <w:rPr>
          <w:sz w:val="19"/>
        </w:rPr>
        <w:t>USA, nicht übertragbar; Finanzierungslogik grundlegend anders</w:t>
      </w:r>
    </w:p>
    <w:p>
      <w:r>
        <w:rPr>
          <w:color w:val="5A7D3A"/>
          <w:sz w:val="18"/>
        </w:rPr>
        <w:t>https://pubmed.ncbi.nlm.nih.gov/42720268/</w:t>
      </w:r>
    </w:p>
    <w:p>
      <w:pPr>
        <w:pStyle w:val="Heading2"/>
      </w:pPr>
      <w:r>
        <w:t>Dynamische Probiotika-Strategien für Nekrotisierende Enterokolitis in Frühgeborenen: Studienprotokoll</w:t>
      </w:r>
    </w:p>
    <w:p>
      <w:r>
        <w:rPr>
          <w:i/>
          <w:color w:val="666666"/>
          <w:sz w:val="18"/>
        </w:rPr>
        <w:t>Chehrazi M et al.  ·  BMJ Paediatr Open  ·  19.08.2026  ·  PMID 42618333</w:t>
      </w:r>
    </w:p>
    <w:p>
      <w:r>
        <w:t>Studienprotokoll für Target-Trial-Emulation mit Routinedaten der UK National Neonatal Research Database: Kausaleffekte von vier Probiotika-Entscheidungsdimensionen (Zeitpunkt, Stamm, Substrat, Antibiotikamanagement) bei Frühgeborenen ≤31+6 Wochen.</w:t>
      </w:r>
    </w:p>
    <w:p>
      <w:r>
        <w:rPr>
          <w:b/>
        </w:rPr>
        <w:t xml:space="preserve">Ergebnis: </w:t>
      </w:r>
      <w:r>
        <w:t>Protokoll beschreibt strukturiertes Kausalitätsgerüst für vier Probiotika-Dimensionen und explizite Zeit-Varianz-Berücksichtigung. Primäre Endpunkte: chirurgische Nekrotisierende Enterokolitis, Spätinfektionen und Sterblichkeit. Parametrische g-Formeln werden zur Confounder-Kontrolle verwendet; Ergebnisse sollen Designentwicklung randomisierter Versuche informieren.</w:t>
      </w:r>
    </w:p>
    <w:p>
      <w:r>
        <w:rPr>
          <w:b/>
          <w:sz w:val="19"/>
        </w:rPr>
        <w:t xml:space="preserve">Übertragbarkeit: </w:t>
      </w:r>
      <w:r>
        <w:rPr>
          <w:sz w:val="19"/>
        </w:rPr>
        <w:t>UK-Datenbank, vergleichbar mit deutschen Neonatologiedatensammlungen</w:t>
      </w:r>
    </w:p>
    <w:p>
      <w:r>
        <w:rPr>
          <w:color w:val="5A7D3A"/>
          <w:sz w:val="18"/>
        </w:rPr>
        <w:t>https://pubmed.ncbi.nlm.nih.gov/42618333/</w:t>
      </w:r>
    </w:p>
    <w:p>
      <w:pPr>
        <w:pStyle w:val="Heading2"/>
      </w:pPr>
      <w:r>
        <w:t>Phosphatidylcholin-Störungen bei kritischer Krankheit und Sepsis deuten auf biologische Besonderheit hin</w:t>
      </w:r>
    </w:p>
    <w:p>
      <w:r>
        <w:rPr>
          <w:i/>
          <w:color w:val="666666"/>
          <w:sz w:val="18"/>
        </w:rPr>
        <w:t>Mester P et al.  ·  Int J Mol Sci  ·  30.07.2026  ·  PMID 42589512</w:t>
      </w:r>
    </w:p>
    <w:p>
      <w:r>
        <w:t>Querschnittstudie mit 160 Intensivpatienten: 21 Plasma-Phosphatidylcholin-Spezies wurden gemessen, davon 15 bei SIRS/Sepsis ohne Zirrhose reduziert, nur PC 32:0 konsistent erhöht.</w:t>
      </w:r>
    </w:p>
    <w:p>
      <w:r>
        <w:rPr>
          <w:b/>
        </w:rPr>
        <w:t xml:space="preserve">Ergebnis: </w:t>
      </w:r>
      <w:r>
        <w:t>Bei SIRS/Sepsis ohne Leberzirrhose zeigten sich 15 PC-Spezies deutlich vermindert (p &lt; 0,05), während PC 32:0 erhöht war. Das Muster persistierte bei kombinierter Leberzirrhose. Keine signifikanten Unterschiede zwischen Überlebenden und Verstorbenen. PC 32:0-Erhöhung war transversgeschnitten konsistent und könnte eigene biologische Rolle spielen.</w:t>
      </w:r>
    </w:p>
    <w:p>
      <w:r>
        <w:rPr>
          <w:b/>
          <w:sz w:val="19"/>
        </w:rPr>
        <w:t xml:space="preserve">Übertragbarkeit: </w:t>
      </w:r>
      <w:r>
        <w:rPr>
          <w:sz w:val="19"/>
        </w:rPr>
        <w:t>Deutschland, diagnostische Markerbewertung ohne operative Folgerung; Datengrundlage unklar</w:t>
      </w:r>
    </w:p>
    <w:p>
      <w:r>
        <w:rPr>
          <w:color w:val="5A7D3A"/>
          <w:sz w:val="18"/>
        </w:rPr>
        <w:t>https://pubmed.ncbi.nlm.nih.gov/42589512/</w:t>
      </w:r>
    </w:p>
    <w:p>
      <w:pPr>
        <w:pStyle w:val="Heading2"/>
      </w:pPr>
      <w:r>
        <w:t>Natürliche Belüftung in Isoliermodulen reduziert Infektionsrisiko für Personal bei 160 L/s Luftwechsel</w:t>
      </w:r>
    </w:p>
    <w:p>
      <w:r>
        <w:rPr>
          <w:i/>
          <w:color w:val="666666"/>
          <w:sz w:val="18"/>
        </w:rPr>
        <w:t>Fontana L et al.  ·  Infect Control Hosp Epidemiol  ·  16.07.2026  ·  PMID 42460458</w:t>
      </w:r>
    </w:p>
    <w:p>
      <w:r>
        <w:t>Experimentelle CFD-Validierung und Simulation für tragbare Infektionsbehandlungsmodule (IDTM): Windgestützte natürliche Belüftung unter Variation von Windgeschwindigkeit (1–4 m/s) und Konfiguration; Infektionsrisiko mittels Wells-Riley-Modell für sieben Atemwegskeime quantifiziert.</w:t>
      </w:r>
    </w:p>
    <w:p>
      <w:r>
        <w:rPr>
          <w:b/>
        </w:rPr>
        <w:t xml:space="preserve">Ergebnis: </w:t>
      </w:r>
      <w:r>
        <w:t>Luftstrom variierte von 7 L/s (optimales Zugriffsmodul mit Windschutz + Moskitonetz bei 1 m/s) bis &gt;3100 L/s (ohne Netze bei 4 m/s). Bei 160 L/s Luftwechsel reduzierte sich Kurzzeit-Infektionsrisiko für Fachpersonal auf ≤1 % für alle Keime, Langzeit-Koexposition bei hohem Emissions-Erreger blieb jedoch risikobehaftet. Entfernung der Fenster-Netze war Wirksamste Massnahme; Hybrid-Belüftung nötig bei niedriger Windgeschwindigkeit.</w:t>
      </w:r>
    </w:p>
    <w:p>
      <w:r>
        <w:rPr>
          <w:b/>
          <w:sz w:val="19"/>
        </w:rPr>
        <w:t xml:space="preserve">Übertragbarkeit: </w:t>
      </w:r>
      <w:r>
        <w:rPr>
          <w:sz w:val="19"/>
        </w:rPr>
        <w:t>Schweiz/Österreich, modulare Isolierinfrastruktur; Ergebnis ist auf Notfallkapazität übertragbar</w:t>
      </w:r>
    </w:p>
    <w:p>
      <w:r>
        <w:rPr>
          <w:color w:val="5A7D3A"/>
          <w:sz w:val="18"/>
        </w:rPr>
        <w:t>https://pubmed.ncbi.nlm.nih.gov/42460458/</w:t>
      </w:r>
    </w:p>
    <w:p>
      <w:pPr>
        <w:pStyle w:val="Heading1"/>
      </w:pPr>
      <w:r>
        <w:t>Aufgenommen am 13.09.2026</w:t>
      </w:r>
    </w:p>
    <w:p>
      <w:pPr>
        <w:pStyle w:val="Heading2"/>
      </w:pPr>
      <w:r>
        <w:t>TeamSTEPPS-Workshop verbessert Teamfähigkeit und Kommunikationswissen bei Studierenden</w:t>
      </w:r>
    </w:p>
    <w:p>
      <w:r>
        <w:rPr>
          <w:i/>
          <w:color w:val="666666"/>
          <w:sz w:val="18"/>
        </w:rPr>
        <w:t>Yin Y et al.  ·  Nurs Open  ·  Sept. 2026  ·  PMID 42728718</w:t>
      </w:r>
    </w:p>
    <w:p>
      <w:r>
        <w:t>Evaluierung eines 4-stündigen TeamSTEPPS-Workshops mit Szenarien und Simulation für Studierende des dritten Jahres zur Verbesserung von Teamfähigkeit und Kommunikation im Versorgungskontext.</w:t>
      </w:r>
    </w:p>
    <w:p>
      <w:r>
        <w:rPr>
          <w:b/>
        </w:rPr>
        <w:t xml:space="preserve">Ergebnis: </w:t>
      </w:r>
      <w:r>
        <w:t>Gesamtscore der Chinese TeamSTEPPS Teamwork Perceptions Questionnaire stieg von 149,06±15,18 auf 159,45±16,28 (signifikant); Wissensprüfung stieg von 80,14±18,29 auf 87,33±8,43; Verbesserungen in Teamstruktur, Führung, Situationsbewusstsein und gegenseitiger Unterstützung.</w:t>
      </w:r>
    </w:p>
    <w:p>
      <w:r>
        <w:rPr>
          <w:b/>
          <w:sz w:val="19"/>
        </w:rPr>
        <w:t xml:space="preserve">Übertragbarkeit: </w:t>
      </w:r>
      <w:r>
        <w:rPr>
          <w:sz w:val="19"/>
        </w:rPr>
        <w:t>China, aber Transfer zu Deutschland durch standardisierte Simulation und etablierte Teamwork-Tools.</w:t>
      </w:r>
    </w:p>
    <w:p>
      <w:r>
        <w:rPr>
          <w:color w:val="5A7D3A"/>
          <w:sz w:val="18"/>
        </w:rPr>
        <w:t>https://pubmed.ncbi.nlm.nih.gov/42728718/</w:t>
      </w:r>
    </w:p>
    <w:p>
      <w:pPr>
        <w:pStyle w:val="Heading2"/>
      </w:pPr>
      <w:r>
        <w:t>Vasopressoranwendung bei Sepsis in Uganda und Ruanda: Prädiktoren für deren Einsatz</w:t>
      </w:r>
    </w:p>
    <w:p>
      <w:r>
        <w:rPr>
          <w:i/>
          <w:color w:val="666666"/>
          <w:sz w:val="18"/>
        </w:rPr>
        <w:t>Girard WS et al.  ·  Crit Care Explor  ·  01.09.2026  ·  PMID 42726203</w:t>
      </w:r>
    </w:p>
    <w:p>
      <w:r>
        <w:t>Retrospektive Kohortenstudie zu Vasopressoranwendung bei sepsierten Patienten in zwei Hochseuchenlastkliniken Ostafrikas mit Analyse der Behandlungsmuster.</w:t>
      </w:r>
    </w:p>
    <w:p>
      <w:r>
        <w:rPr>
          <w:b/>
        </w:rPr>
        <w:t xml:space="preserve">Ergebnis: </w:t>
      </w:r>
      <w:r>
        <w:t>Von 471 Septikämie-Patienten erhielten 24% (n=113) Vasopressoren; erhöhte UVA-Mortalitätsrisikoscores waren der stärkste Prädiktor für Vasopressoranwendung (adjustiertes OR 1,25; 95%-KI 1,14-1,27; p&lt;0,001); Sterblichkeit lag bei 30% (n=139).</w:t>
      </w:r>
    </w:p>
    <w:p>
      <w:r>
        <w:rPr>
          <w:b/>
          <w:sz w:val="19"/>
        </w:rPr>
        <w:t xml:space="preserve">Übertragbarkeit: </w:t>
      </w:r>
      <w:r>
        <w:rPr>
          <w:sz w:val="19"/>
        </w:rPr>
        <w:t>Uganda/Ruanda - Limitierte Ressourcen, aber Sepsismanagement relevant für alle Kontexte.</w:t>
      </w:r>
    </w:p>
    <w:p>
      <w:r>
        <w:rPr>
          <w:color w:val="5A7D3A"/>
          <w:sz w:val="18"/>
        </w:rPr>
        <w:t>https://pubmed.ncbi.nlm.nih.gov/42726203/</w:t>
      </w:r>
    </w:p>
    <w:p>
      <w:pPr>
        <w:pStyle w:val="Heading2"/>
      </w:pPr>
      <w:r>
        <w:t>Cefiderocol-Resistenztrends bei carbapenemresistenter Klebsiella pneumoniae vor klinischer Einführung</w:t>
      </w:r>
    </w:p>
    <w:p>
      <w:r>
        <w:rPr>
          <w:i/>
          <w:color w:val="666666"/>
          <w:sz w:val="18"/>
        </w:rPr>
        <w:t>Wang M et al.  ·  Front Cell Infect Microbiol  ·  27.08.2026  ·  PMID 42723943</w:t>
      </w:r>
    </w:p>
    <w:p>
      <w:r>
        <w:t>Retrospektive Analyse von 83 carbapenemresistenten K.-pneumoniae-Isolaten aus Blutkultur-Episoden eines chinesischen Tertiärkrankenhauses mit Cefiderocol-MIC-Bestimmung und genomischer Charakterisierung.</w:t>
      </w:r>
    </w:p>
    <w:p>
      <w:r>
        <w:rPr>
          <w:b/>
        </w:rPr>
        <w:t xml:space="preserve">Ergebnis: </w:t>
      </w:r>
      <w:r>
        <w:t>83,1% der Isolate waren nach CLSI-Kriterien Cefiderocol-empfindlich; MIC50 4 mg/L, MIC90 8 mg/L; 41% erfüllten Reduziertempfindlichkeitskriterien; ST11-Klone mit KL47/KL64 zeigten höhere MICs; bla_NDM-1 und Virulenzplasmide waren mit reduzierter Empfindlichkeit assoziiert.</w:t>
      </w:r>
    </w:p>
    <w:p>
      <w:r>
        <w:rPr>
          <w:b/>
          <w:sz w:val="19"/>
        </w:rPr>
        <w:t xml:space="preserve">Übertragbarkeit: </w:t>
      </w:r>
      <w:r>
        <w:rPr>
          <w:sz w:val="19"/>
        </w:rPr>
        <w:t>China, aber Resistenzmuster und Baseline vor Arzneimittelexposition international relevant.</w:t>
      </w:r>
    </w:p>
    <w:p>
      <w:r>
        <w:rPr>
          <w:color w:val="5A7D3A"/>
          <w:sz w:val="18"/>
        </w:rPr>
        <w:t>https://pubmed.ncbi.nlm.nih.gov/42723943/</w:t>
      </w:r>
    </w:p>
    <w:p>
      <w:pPr>
        <w:pStyle w:val="Heading2"/>
      </w:pPr>
      <w:r>
        <w:t>Schnelle Diagnostik von Blutkultur-Infektionen spart Leben und Kosten</w:t>
      </w:r>
    </w:p>
    <w:p>
      <w:r>
        <w:rPr>
          <w:i/>
          <w:color w:val="666666"/>
          <w:sz w:val="18"/>
        </w:rPr>
        <w:t>Karichu JK et al.  ·  J Med Econ  ·  10.09.2026  ·  PMID 42720132</w:t>
      </w:r>
    </w:p>
    <w:p>
      <w:r>
        <w:t>Budget-Impact-Analyse für England und USA zur Vorhersage der Kosteneffektivität von molekularen Schnelltests zur Pathogenerkennung bei Septikämien von 2025–2029.</w:t>
      </w:r>
    </w:p>
    <w:p>
      <w:r>
        <w:rPr>
          <w:b/>
        </w:rPr>
        <w:t xml:space="preserve">Ergebnis: </w:t>
      </w:r>
      <w:r>
        <w:t>In England 927000 BSI-Fälle vorhergesagt; Einsatz von Cobas Eplex BCID würde 1864 Leben retten und über £40 Millionen einsparen; in den USA 6882 Leben gerettet und über $450 Millionen Ersparnis; schnellere Pathogenidentifikation ermöglicht frühere Therapieoptimierung.</w:t>
      </w:r>
    </w:p>
    <w:p>
      <w:r>
        <w:rPr>
          <w:b/>
          <w:sz w:val="19"/>
        </w:rPr>
        <w:t xml:space="preserve">Übertragbarkeit: </w:t>
      </w:r>
      <w:r>
        <w:rPr>
          <w:sz w:val="19"/>
        </w:rPr>
        <w:t>England und USA, aber Technologie und Kostenperspektive relevant für deutsche Gesundheitssysteme.</w:t>
      </w:r>
    </w:p>
    <w:p>
      <w:r>
        <w:rPr>
          <w:color w:val="5A7D3A"/>
          <w:sz w:val="18"/>
        </w:rPr>
        <w:t>https://pubmed.ncbi.nlm.nih.gov/42720132/</w:t>
      </w:r>
    </w:p>
    <w:p>
      <w:pPr>
        <w:pStyle w:val="Heading2"/>
      </w:pPr>
      <w:r>
        <w:t>Hochgradige Transaminasenerhöhung ohne Hyperbilirubinämie: Unterschätzte Mortalitätsprognose</w:t>
      </w:r>
    </w:p>
    <w:p>
      <w:r>
        <w:rPr>
          <w:i/>
          <w:color w:val="666666"/>
          <w:sz w:val="18"/>
        </w:rPr>
        <w:t>Chalasani N et al.  ·  Clin Pharmacol Ther  ·  25.07.2026  ·  PMID 42502235</w:t>
      </w:r>
    </w:p>
    <w:p>
      <w:r>
        <w:t>Analyse von zwei Registern (DILIN und spanisches DILI-Register) mit insgesamt 964 Patienten zur prognostischen Bedeutung sehr hoher Transaminasen bei niedrig-normalem Bilirubin für druginduzierten Leberschaden.</w:t>
      </w:r>
    </w:p>
    <w:p>
      <w:r>
        <w:rPr>
          <w:b/>
        </w:rPr>
        <w:t xml:space="preserve">Ergebnis: </w:t>
      </w:r>
      <w:r>
        <w:t>Bei sehr hohem ALT und normalem Bilirubin entwickelten nur 1,3% die nR-basierte Hy's Law; minimale Bilirubinerhöhung erhöhte Risiko markant (OR 7,8); besonders hohe Transaminasen (&gt;1000 U/L) mit minimalen Bilirubinwerten hatten höchstes Risiko (OR 23,6).</w:t>
      </w:r>
    </w:p>
    <w:p>
      <w:r>
        <w:rPr>
          <w:b/>
          <w:sz w:val="19"/>
        </w:rPr>
        <w:t xml:space="preserve">Übertragbarkeit: </w:t>
      </w:r>
      <w:r>
        <w:rPr>
          <w:sz w:val="19"/>
        </w:rPr>
        <w:t>USA/Spanien, aber Befunde zur Prognoseeinschätzung unabhängig von Haftungskontext.</w:t>
      </w:r>
    </w:p>
    <w:p>
      <w:r>
        <w:rPr>
          <w:color w:val="5A7D3A"/>
          <w:sz w:val="18"/>
        </w:rPr>
        <w:t>https://pubmed.ncbi.nlm.nih.gov/42502235/</w:t>
      </w:r>
    </w:p>
    <w:p>
      <w:pPr>
        <w:pStyle w:val="Heading2"/>
      </w:pPr>
      <w:r>
        <w:t>Unbeabsichtigte Medikamentendiskrepanzen in Übergangsphasen: Überprüfungsfehler als Hauptursache</w:t>
      </w:r>
    </w:p>
    <w:p>
      <w:r>
        <w:rPr>
          <w:i/>
          <w:color w:val="666666"/>
          <w:sz w:val="18"/>
        </w:rPr>
        <w:t>Limmen B et al.  ·  Int J Clin Pharm  ·  18.07.2026  ·  PMID 42470584</w:t>
      </w:r>
    </w:p>
    <w:p>
      <w:r>
        <w:t>Analyse von 992 freiwillig gemeldeten Medikamentenzwischenfällen in Übergangsphasen aus niederländischen Krankenhäusern zur Identifikation der Ursachen von unbeabsichtigten Medikamentendiskrepanzen.</w:t>
      </w:r>
    </w:p>
    <w:p>
      <w:r>
        <w:rPr>
          <w:b/>
        </w:rPr>
        <w:t xml:space="preserve">Ergebnis: </w:t>
      </w:r>
      <w:r>
        <w:t>94% der Zwischenfälle waren menschliche Fehler, davon 49,6% Überprüfungsfehler und 24,8% Interventionsfehler; 74,1% erreichten den Patienten; Omissionen waren die häufigsten Diskrepanztypen (36,2%); kardiovaskuläre Medikamente am häufigsten betroffen (24,9%).</w:t>
      </w:r>
    </w:p>
    <w:p>
      <w:r>
        <w:rPr>
          <w:b/>
          <w:sz w:val="19"/>
        </w:rPr>
        <w:t xml:space="preserve">Übertragbarkeit: </w:t>
      </w:r>
      <w:r>
        <w:rPr>
          <w:sz w:val="19"/>
        </w:rPr>
        <w:t>Niederlande, vergleichbares Versicherungssystem und Dokumentationspflichten.</w:t>
      </w:r>
    </w:p>
    <w:p>
      <w:r>
        <w:rPr>
          <w:color w:val="5A7D3A"/>
          <w:sz w:val="18"/>
        </w:rPr>
        <w:t>https://pubmed.ncbi.nlm.nih.gov/42470584/</w:t>
      </w:r>
    </w:p>
    <w:p>
      <w:pPr>
        <w:pStyle w:val="Heading1"/>
      </w:pPr>
      <w:r>
        <w:t>Aufgenommen am 12.09.2026</w:t>
      </w:r>
    </w:p>
    <w:p>
      <w:pPr>
        <w:pStyle w:val="Heading2"/>
      </w:pPr>
      <w:r>
        <w:t>Ungeeignete Arzneimittelkaskaden in älteren Erwachsenen: Priorisierung nach Epidemiologie und Assoziationsstärke</w:t>
      </w:r>
    </w:p>
    <w:p>
      <w:r>
        <w:rPr>
          <w:i/>
          <w:color w:val="666666"/>
          <w:sz w:val="18"/>
        </w:rPr>
        <w:t>Rochon PA et al.  ·  BMJ  ·  10.09.2026  ·  PMID 42727946</w:t>
      </w:r>
    </w:p>
    <w:p>
      <w:r>
        <w:t>Bevölkerungsbasierte Analyse administrativer Daten zur Identifikation potenziell unerwünschter Verschreibungskaskaden in der älteren kanadischen Bevölkerung mit systematischer Priorisierung.</w:t>
      </w:r>
    </w:p>
    <w:p>
      <w:r>
        <w:rPr>
          <w:b/>
        </w:rPr>
        <w:t xml:space="preserve">Ergebnis: </w:t>
      </w:r>
      <w:r>
        <w:t>24 von 65 untersuchten Kaskaden erfüllten Priorisierungskriterien (Prävalenz ≥5%, Inzidenz ≥1%, angepasste Sequenzratio &gt;1). Höchste Inzidenzen: Eisen-zu-Laxans 11,9%, Statine-zu-Schmerzmittel 10,9%, Cholinesterase-Inhibitor-zu-Schlafmittel 10,3%. Stärkste zeitliche Assoziationen: Kortikosteroid-zu-Antipsychotika RR 2,55, Laxans-zu-Antidiarrhöika RR 2,53.</w:t>
      </w:r>
    </w:p>
    <w:p>
      <w:r>
        <w:rPr>
          <w:b/>
          <w:sz w:val="19"/>
        </w:rPr>
        <w:t xml:space="preserve">Übertragbarkeit: </w:t>
      </w:r>
      <w:r>
        <w:rPr>
          <w:sz w:val="19"/>
        </w:rPr>
        <w:t>Kanada, vergleichbarer Versicherungskontext, Deprescribing-Ansätze übertragbar</w:t>
      </w:r>
    </w:p>
    <w:p>
      <w:r>
        <w:rPr>
          <w:color w:val="5A7D3A"/>
          <w:sz w:val="18"/>
        </w:rPr>
        <w:t>https://pubmed.ncbi.nlm.nih.gov/42727946/</w:t>
      </w:r>
    </w:p>
    <w:p>
      <w:pPr>
        <w:pStyle w:val="Heading2"/>
      </w:pPr>
      <w:r>
        <w:t>Chirurgische Wundinfektionen in Frankreich: Systemische Analyse von Häufigkeit, Kosten und Wiederaufnahmen</w:t>
      </w:r>
    </w:p>
    <w:p>
      <w:r>
        <w:rPr>
          <w:i/>
          <w:color w:val="666666"/>
          <w:sz w:val="18"/>
        </w:rPr>
        <w:t>Aragno VA et al.  ·  Inquiry  ·  11.09.2026  ·  PMID 42727077</w:t>
      </w:r>
    </w:p>
    <w:p>
      <w:r>
        <w:t>Retrospektive Analyse der französischen Krankenversicherungsdatenbank zu Häufigkeit und Kostenfolgen von Wundkomplikationen nach elektiven Operationen in vier Fachgebieten.</w:t>
      </w:r>
    </w:p>
    <w:p>
      <w:r>
        <w:rPr>
          <w:b/>
        </w:rPr>
        <w:t xml:space="preserve">Ergebnis: </w:t>
      </w:r>
      <w:r>
        <w:t>Infektionsraten (SSI) ranged 0.44 % (orthopädisch) to 3.09 % (Magen-Darm); Herzchirurgie zeigte höchste Komplikationsrate 14,91 %. Wundkomplikationen führten zu 11–28 zusätzlichen Hospitalisierungstagen und 6.622–22.109 Euro Mehrkosten pro Fall; Wiederaufnahmen insgesamt 840 Mio. Euro Belastung pro Jahr. Vergleichbare administrative Datenqualität zu Deutschland.</w:t>
      </w:r>
    </w:p>
    <w:p>
      <w:r>
        <w:rPr>
          <w:b/>
          <w:sz w:val="19"/>
        </w:rPr>
        <w:t xml:space="preserve">Übertragbarkeit: </w:t>
      </w:r>
      <w:r>
        <w:rPr>
          <w:sz w:val="19"/>
        </w:rPr>
        <w:t>Frankreich, vergleichbare Sozialversicherung, PMSI-Datensatz ähnlich Fallpauschalensystem</w:t>
      </w:r>
    </w:p>
    <w:p>
      <w:r>
        <w:rPr>
          <w:color w:val="5A7D3A"/>
          <w:sz w:val="18"/>
        </w:rPr>
        <w:t>https://pubmed.ncbi.nlm.nih.gov/42727077/</w:t>
      </w:r>
    </w:p>
    <w:p>
      <w:pPr>
        <w:pStyle w:val="Heading2"/>
      </w:pPr>
      <w:r>
        <w:t>Multiresistente Blutstrominfektion bei Kindern mit Hochrisiko-Leukämie: Levofloxacin-Prophylaxe und Resistenzentwicklung</w:t>
      </w:r>
    </w:p>
    <w:p>
      <w:r>
        <w:rPr>
          <w:i/>
          <w:color w:val="666666"/>
          <w:sz w:val="18"/>
        </w:rPr>
        <w:t>Alsabagh M et al.  ·  Pol Merkur Lekarski  ·  2026  ·  PMID 42726826</w:t>
      </w:r>
    </w:p>
    <w:p>
      <w:r>
        <w:t>Retrospektive Kohortenstudie zum Vergleich von multiresistenter Kolonisation und Blutstrominfektion bei intensiv chemotherapierten Kindern mit und ohne Fluorchinolon-Prophylaxe.</w:t>
      </w:r>
    </w:p>
    <w:p>
      <w:r>
        <w:rPr>
          <w:b/>
        </w:rPr>
        <w:t xml:space="preserve">Ergebnis: </w:t>
      </w:r>
      <w:r>
        <w:t>82 Kinder (67,1% männlich), medianes Alter 10 Jahre. Febrile Neutropenie in 89,3% der Zyklen. Fluorchinolon-Empfindlichkeit niedrig: 16% bei rektalen und 11,8% bei Blutkultur-Isolaten, abnehmend über Zyklen. Mortalität assoziiert mit multiresistenter Klebsiella pneumoniae und Fluorchinolon-Resistenz. Routine-Levofloxacin-Prophylaxe bietet begrenzte Vorteile.</w:t>
      </w:r>
    </w:p>
    <w:p>
      <w:r>
        <w:rPr>
          <w:b/>
          <w:sz w:val="19"/>
        </w:rPr>
        <w:t xml:space="preserve">Übertragbarkeit: </w:t>
      </w:r>
      <w:r>
        <w:rPr>
          <w:sz w:val="19"/>
        </w:rPr>
        <w:t>Ägypten, Antibiotic-Stewardship-Problem international relevant</w:t>
      </w:r>
    </w:p>
    <w:p>
      <w:r>
        <w:rPr>
          <w:color w:val="5A7D3A"/>
          <w:sz w:val="18"/>
        </w:rPr>
        <w:t>https://pubmed.ncbi.nlm.nih.gov/42726826/</w:t>
      </w:r>
    </w:p>
    <w:p>
      <w:pPr>
        <w:pStyle w:val="Heading2"/>
      </w:pPr>
      <w:r>
        <w:t>Multizentrischer Ausbruch durch Candida viswanathii in kontaminiertem Milrinon, Italien 2025</w:t>
      </w:r>
    </w:p>
    <w:p>
      <w:r>
        <w:rPr>
          <w:i/>
          <w:color w:val="666666"/>
          <w:sz w:val="18"/>
        </w:rPr>
        <w:t>Mesini A et al.  ·  Euro Surveill  ·  Sept. 2026  ·  PMID 42725369</w:t>
      </w:r>
    </w:p>
    <w:p>
      <w:r>
        <w:t>Epidemiologische Untersuchung eines Ausbruchs von Blutstrominfektion durch ein seltenes Hefepilz-Medikament-assoziiert nach hypothesengestützter Ermittlung.</w:t>
      </w:r>
    </w:p>
    <w:p>
      <w:r>
        <w:rPr>
          <w:b/>
        </w:rPr>
        <w:t xml:space="preserve">Ergebnis: </w:t>
      </w:r>
      <w:r>
        <w:t>40 Fälle von Kandidämie in vier italienischen Zentren, April–Oktober 2025, alle durch kontaminiertes Milrinon verursacht. Starke geografische Assoziation mit indischem Subkontinent führte zur Identifikation des Infektionsöls. Sofortige Maßnahmen: Produktrückzug, Benachrichtigung der Behörden, aktive mikrobiologische Überwachung exponierter Patienten.</w:t>
      </w:r>
    </w:p>
    <w:p>
      <w:r>
        <w:rPr>
          <w:b/>
          <w:sz w:val="19"/>
        </w:rPr>
        <w:t xml:space="preserve">Übertragbarkeit: </w:t>
      </w:r>
      <w:r>
        <w:rPr>
          <w:sz w:val="19"/>
        </w:rPr>
        <w:t>Europa-Italien, klinische Ausbruchserkennung und Pharmakovigilanz übertragbar</w:t>
      </w:r>
    </w:p>
    <w:p>
      <w:r>
        <w:rPr>
          <w:color w:val="5A7D3A"/>
          <w:sz w:val="18"/>
        </w:rPr>
        <w:t>https://pubmed.ncbi.nlm.nih.gov/42725369/</w:t>
      </w:r>
    </w:p>
    <w:p>
      <w:pPr>
        <w:pStyle w:val="Heading2"/>
      </w:pPr>
      <w:r>
        <w:t>Aufbereitung chirurgischer Instrumente in Katastrophenfällen: Barrieren, Lücken und Handlungsoptionen</w:t>
      </w:r>
    </w:p>
    <w:p>
      <w:r>
        <w:rPr>
          <w:i/>
          <w:color w:val="666666"/>
          <w:sz w:val="18"/>
        </w:rPr>
        <w:t>Nematollahi MS et al.  ·  Antimicrob Resist Infect Control  ·  28.08.2026  ·  PMID 42723127</w:t>
      </w:r>
    </w:p>
    <w:p>
      <w:r>
        <w:t>Systematischer Review zu Vulnerabilitäten, Barrieren und adaptiven Strategien bei der Sterilisation wiederverwendbarer Instrumente während Infektionsausbrüchen und Katastrophen.</w:t>
      </w:r>
    </w:p>
    <w:p>
      <w:r>
        <w:rPr>
          <w:b/>
        </w:rPr>
        <w:t xml:space="preserve">Ergebnis: </w:t>
      </w:r>
      <w:r>
        <w:t>11 Studien aus neun Ländern. Wiederkehrende Barrieren: unvollständige Reinigung, mangelhafte Lumen-Dekontamination, Geräteausfälle, kontaminierte Wasser-/Spülsysteme, begrenzte Notfallvorbereitung, Personalengpässe, fehlende Instrumentenverfolgung. Adaptive Strategien: standardisierte Reinigungsprotokolle, Umgebungsüberwachung, Schulung, mobile/Container-Sterilisationskapazität, Notfall-Aufbereitungskonzepte. Herausforderungen sind operational-infrastrukturell, nicht isoliert technisch.</w:t>
      </w:r>
    </w:p>
    <w:p>
      <w:r>
        <w:rPr>
          <w:b/>
          <w:sz w:val="19"/>
        </w:rPr>
        <w:t xml:space="preserve">Übertragbarkeit: </w:t>
      </w:r>
      <w:r>
        <w:rPr>
          <w:sz w:val="19"/>
        </w:rPr>
        <w:t>Internationale Evidenz aus Ausbruchsuntersuchungen, auf Deutschland übertragbar</w:t>
      </w:r>
    </w:p>
    <w:p>
      <w:r>
        <w:rPr>
          <w:color w:val="5A7D3A"/>
          <w:sz w:val="18"/>
        </w:rPr>
        <w:t>https://pubmed.ncbi.nlm.nih.gov/42723127/</w:t>
      </w:r>
    </w:p>
    <w:p>
      <w:pPr>
        <w:pStyle w:val="Heading2"/>
      </w:pPr>
      <w:r>
        <w:t>CXCL10-Genotyp rs8878 und T-Zell-Erhalt im Sepsis-Verlauf: Biomarker für Risikostratifizierung</w:t>
      </w:r>
    </w:p>
    <w:p>
      <w:r>
        <w:rPr>
          <w:i/>
          <w:color w:val="666666"/>
          <w:sz w:val="18"/>
        </w:rPr>
        <w:t>Dyck B et al.  ·  Front Immunol  ·  17.07.2026  ·  PMID 42540005</w:t>
      </w:r>
    </w:p>
    <w:p>
      <w:r>
        <w:t>Prospektive Kohortenstudie zu Assoziation des CXCL10-Genotyps mit T-Lymphozyten-Homöostase und 30-Tage-Mortalität bei Sepsis-Patienten in Deutschland.</w:t>
      </w:r>
    </w:p>
    <w:p>
      <w:r>
        <w:rPr>
          <w:b/>
        </w:rPr>
        <w:t xml:space="preserve">Ergebnis: </w:t>
      </w:r>
      <w:r>
        <w:t>278 sepsis-Patienten untersucht. AA-Genotyp-Träger hatten höhere zirkulierende T-Zell-Zahlen und verbesserte Überlebenschancen vs. G-Allel-Träger. Höhere Gesamt- und CD8+-T-Zell-Zahlen signifikant mit verbessertem Überleben assoziiert. CXCL10-Konzentrationen Tag 1 positiv mit IL-6, IL-8, IL-10, IL-18, MCP-1, IFN-γ korreliert, invers mit T-Zell-Zahlen. AA-Genotyp prädiktiv für bessere 30-Tage-Überlebenschance.</w:t>
      </w:r>
    </w:p>
    <w:p>
      <w:r>
        <w:rPr>
          <w:b/>
          <w:sz w:val="19"/>
        </w:rPr>
        <w:t xml:space="preserve">Übertragbarkeit: </w:t>
      </w:r>
      <w:r>
        <w:rPr>
          <w:sz w:val="19"/>
        </w:rPr>
        <w:t>Deutschland, Ruhr-Universität Bochum, direkt auf deutsches Patientenkollektiv anwendbar</w:t>
      </w:r>
    </w:p>
    <w:p>
      <w:r>
        <w:rPr>
          <w:color w:val="5A7D3A"/>
          <w:sz w:val="18"/>
        </w:rPr>
        <w:t>https://pubmed.ncbi.nlm.nih.gov/42540005/</w:t>
      </w:r>
    </w:p>
    <w:p>
      <w:pPr>
        <w:pStyle w:val="Heading1"/>
      </w:pPr>
      <w:r>
        <w:t>Aufgenommen am 11.09.2026</w:t>
      </w:r>
    </w:p>
    <w:p>
      <w:pPr>
        <w:pStyle w:val="Heading2"/>
      </w:pPr>
      <w:r>
        <w:t>Rapid diagnostik senkt Zeitspanne bei Gram-negativer Sepsis um 14-19 Stunden</w:t>
      </w:r>
    </w:p>
    <w:p>
      <w:r>
        <w:rPr>
          <w:i/>
          <w:color w:val="666666"/>
          <w:sz w:val="18"/>
        </w:rPr>
        <w:t>Benyahia M et al.  ·  PLoS One  ·  10.09.2026  ·  PMID 42721154</w:t>
      </w:r>
    </w:p>
    <w:p>
      <w:r>
        <w:t>Prospektive Studie zur Beschleunigung der Diagnostik bei Gram-negativen Blutstrominfektionen auf Intensivstationen mit molekularen und schnellen Empfindlichkeitsmethoden.</w:t>
      </w:r>
    </w:p>
    <w:p>
      <w:r>
        <w:rPr>
          <w:b/>
        </w:rPr>
        <w:t xml:space="preserve">Ergebnis: </w:t>
      </w:r>
      <w:r>
        <w:t>BioFire BCID2 und Vitek REVEAL reduzierten die Identifikationszeit um 19,0 Stunden und die Empfindlichkeitstestung um 14,9 Stunden bei 50 ICU-Patienten mit Monomikrobium-Infektionen; kategoriale Übereinstimmung mit Standardmethoden 97,7%.</w:t>
      </w:r>
    </w:p>
    <w:p>
      <w:r>
        <w:rPr>
          <w:b/>
          <w:sz w:val="19"/>
        </w:rPr>
        <w:t xml:space="preserve">Übertragbarkeit: </w:t>
      </w:r>
      <w:r>
        <w:rPr>
          <w:sz w:val="19"/>
        </w:rPr>
        <w:t>Frankreich, vergleichbares Dokumentationssystem in der Intensivmedizin</w:t>
      </w:r>
    </w:p>
    <w:p>
      <w:r>
        <w:rPr>
          <w:color w:val="5A7D3A"/>
          <w:sz w:val="18"/>
        </w:rPr>
        <w:t>https://pubmed.ncbi.nlm.nih.gov/42721154/</w:t>
      </w:r>
    </w:p>
    <w:p>
      <w:pPr>
        <w:pStyle w:val="Heading2"/>
      </w:pPr>
      <w:r>
        <w:t>Albuminmangel nach E.-coli-Sepsis erhöht Sterblichkeit um 10-fach bei Kindern</w:t>
      </w:r>
    </w:p>
    <w:p>
      <w:r>
        <w:rPr>
          <w:i/>
          <w:color w:val="666666"/>
          <w:sz w:val="18"/>
        </w:rPr>
        <w:t>Cheng J et al.  ·  Ann Med  ·  10.09.2026  ·  PMID 42720514</w:t>
      </w:r>
    </w:p>
    <w:p>
      <w:r>
        <w:t>Retrospektive Kohortenstudie zu Prädiktoren der Krankenhaus-Sterblichkeit bei Kindern mit E.-coli-Blutstrominfektionen, fokussiert auf post-infektiven Albuminmangel.</w:t>
      </w:r>
    </w:p>
    <w:p>
      <w:r>
        <w:rPr>
          <w:b/>
        </w:rPr>
        <w:t xml:space="preserve">Ergebnis: </w:t>
      </w:r>
      <w:r>
        <w:t>Bei 211 Kindern mit E.-coli-Sepsis betrug die Sterblichkeit 12,32%; sekundärer Albuminmangel war nach Kontrolle für Beatmung, PRISM-Score und Zeit bis Nachweis mit Odds Ratio 10,59 (95% KI 1,39-80,91; p&lt;0,05) unabhängig mit Mortalität assoziiert.</w:t>
      </w:r>
    </w:p>
    <w:p>
      <w:r>
        <w:rPr>
          <w:b/>
          <w:sz w:val="19"/>
        </w:rPr>
        <w:t xml:space="preserve">Übertragbarkeit: </w:t>
      </w:r>
      <w:r>
        <w:rPr>
          <w:sz w:val="19"/>
        </w:rPr>
        <w:t>China, außereuropäisch; Struktur der Risikostratifizierung übertragbar</w:t>
      </w:r>
    </w:p>
    <w:p>
      <w:r>
        <w:rPr>
          <w:color w:val="5A7D3A"/>
          <w:sz w:val="18"/>
        </w:rPr>
        <w:t>https://pubmed.ncbi.nlm.nih.gov/42720514/</w:t>
      </w:r>
    </w:p>
    <w:p>
      <w:pPr>
        <w:pStyle w:val="Heading2"/>
      </w:pPr>
      <w:r>
        <w:t>Klinische Antibiotikatiming bei Sepsis folgt Zwei-Achsen-Muster</w:t>
      </w:r>
    </w:p>
    <w:p>
      <w:r>
        <w:rPr>
          <w:i/>
          <w:color w:val="666666"/>
          <w:sz w:val="18"/>
        </w:rPr>
        <w:t>Currey D et al.  ·  Crit Care Explor  ·  01.09.2026  ·  PMID 42720074</w:t>
      </w:r>
    </w:p>
    <w:p>
      <w:r>
        <w:t>Retrospektive Observationsstudie mit maschinellem Lernen zur Validierung eines Dual-Achsen-Modells für Antibiotikatiming bei Verdacht auf Sepsis in 199.062 Notaufnahmen.</w:t>
      </w:r>
    </w:p>
    <w:p>
      <w:r>
        <w:rPr>
          <w:b/>
        </w:rPr>
        <w:t xml:space="preserve">Ergebnis: </w:t>
      </w:r>
      <w:r>
        <w:t>Bei 115.152 Notaufnahmen validiert: Antibiotikatiming folgt kontinuierlichem Gradienten mit Wahrscheinlichkeit von Infektion und physiologischem Schweregrad (Interaktion p=0,0013); verzögertes Timing über Erwartung hinaus assoziiert mit erhöhter 3-Tage-ICU-Rate oder Sterblichkeit (p&lt;0,001).</w:t>
      </w:r>
    </w:p>
    <w:p>
      <w:r>
        <w:rPr>
          <w:b/>
          <w:sz w:val="19"/>
        </w:rPr>
        <w:t xml:space="preserve">Übertragbarkeit: </w:t>
      </w:r>
      <w:r>
        <w:rPr>
          <w:sz w:val="19"/>
        </w:rPr>
        <w:t>USA, aber Sicherheitsbefund zur Entscheidungsfindung unabhängig von System</w:t>
      </w:r>
    </w:p>
    <w:p>
      <w:r>
        <w:rPr>
          <w:color w:val="5A7D3A"/>
          <w:sz w:val="18"/>
        </w:rPr>
        <w:t>https://pubmed.ncbi.nlm.nih.gov/42720074/</w:t>
      </w:r>
    </w:p>
    <w:p>
      <w:pPr>
        <w:pStyle w:val="Heading2"/>
      </w:pPr>
      <w:r>
        <w:t>Ärztliche Entwertung – systematische Definition eines Sicherheitsrisikos</w:t>
      </w:r>
    </w:p>
    <w:p>
      <w:r>
        <w:rPr>
          <w:i/>
          <w:color w:val="666666"/>
          <w:sz w:val="18"/>
        </w:rPr>
        <w:t>Lerch SP et al.  ·  BMC Health Serv Res  ·  08.09.2026  ·  PMID 42717341</w:t>
      </w:r>
    </w:p>
    <w:p>
      <w:r>
        <w:t>Scoping Review zur Begriffsklärung, Messung, Ursachen und Folgen von ärztlicher Entwertung und medizinischem Gaslighting anhand von 158 wissenschaftlichen Arbeiten.</w:t>
      </w:r>
    </w:p>
    <w:p>
      <w:r>
        <w:rPr>
          <w:b/>
        </w:rPr>
        <w:t xml:space="preserve">Ergebnis: </w:t>
      </w:r>
      <w:r>
        <w:t>Erhebliche Inkonsistenz in Definitionen von Entwertung, Nichternstnehmen und Gaslighting; Phänomen ist multifaktoriell (diagnostische Schwierigkeiten, strukturelle Faktoren, Stigma, Wissenlücken); assoziiert mit Verhaltens-, emotionalen, kognitiven, körperlichen und systemischen Schäden; Validierung und Interventionen auf mehreren Ebenen erforderlich.</w:t>
      </w:r>
    </w:p>
    <w:p>
      <w:r>
        <w:rPr>
          <w:b/>
          <w:sz w:val="19"/>
        </w:rPr>
        <w:t xml:space="preserve">Übertragbarkeit: </w:t>
      </w:r>
      <w:r>
        <w:rPr>
          <w:sz w:val="19"/>
        </w:rPr>
        <w:t>Deutschland (Autorin Greifswald), hohes Transferpotenzial für Patientensicherheitsforschung</w:t>
      </w:r>
    </w:p>
    <w:p>
      <w:r>
        <w:rPr>
          <w:color w:val="5A7D3A"/>
          <w:sz w:val="18"/>
        </w:rPr>
        <w:t>https://pubmed.ncbi.nlm.nih.gov/42717341/</w:t>
      </w:r>
    </w:p>
    <w:p>
      <w:pPr>
        <w:pStyle w:val="Heading2"/>
      </w:pPr>
      <w:r>
        <w:t>Antimikrobielles Stewardship für ältere Sepsis-Patienten – Pfad für Ressourcen-begrenzte Länder</w:t>
      </w:r>
    </w:p>
    <w:p>
      <w:r>
        <w:rPr>
          <w:i/>
          <w:color w:val="666666"/>
          <w:sz w:val="18"/>
        </w:rPr>
        <w:t>Jing L et al.  ·  J Infect Dev Ctries  ·  31.08.2026  ·  PMID 42715272</w:t>
      </w:r>
    </w:p>
    <w:p>
      <w:r>
        <w:t>Retrospektive Kohortenstudie zu Gram-negativer Sepsis bei 122 älteren Patienten in Shanghai mit Ziel, einen kosteneffizienten, lokale Resistenzprofile berücksichtigenden Behandlungspfad zu entwickeln.</w:t>
      </w:r>
    </w:p>
    <w:p>
      <w:r>
        <w:rPr>
          <w:b/>
        </w:rPr>
        <w:t xml:space="preserve">Ergebnis: </w:t>
      </w:r>
      <w:r>
        <w:t>Gram-negative Keime dominierten (54,9%); 28-Tage-Mortalität 37,7%; Cefoperazon-Sulbactam-Empfindlichkeit 85,0%; unabhängige Mortalitätsprädiktoren waren Alter (aOR 1,10 pro Jahr), ICU-Aufnahme (aOR 6,65), Beatmung (aOR 5,78), Dialyse (aOR 3,62); entwickelter Karbapenem-sparender Pfad für Stewardship.</w:t>
      </w:r>
    </w:p>
    <w:p>
      <w:r>
        <w:rPr>
          <w:b/>
          <w:sz w:val="19"/>
        </w:rPr>
        <w:t xml:space="preserve">Übertragbarkeit: </w:t>
      </w:r>
      <w:r>
        <w:rPr>
          <w:sz w:val="19"/>
        </w:rPr>
        <w:t>China, aber Prinzipien zu lokalen Resistenzmustern und Stewardship international übertragbar</w:t>
      </w:r>
    </w:p>
    <w:p>
      <w:r>
        <w:rPr>
          <w:color w:val="5A7D3A"/>
          <w:sz w:val="18"/>
        </w:rPr>
        <w:t>https://pubmed.ncbi.nlm.nih.gov/42715272/</w:t>
      </w:r>
    </w:p>
    <w:p>
      <w:pPr>
        <w:pStyle w:val="Heading2"/>
      </w:pPr>
      <w:r>
        <w:t>Pflegeausfälle führen zu Strafverurteilungen – zehn Urteile analysiert</w:t>
      </w:r>
    </w:p>
    <w:p>
      <w:r>
        <w:rPr>
          <w:i/>
          <w:color w:val="666666"/>
          <w:sz w:val="18"/>
        </w:rPr>
        <w:t>Noacco M et al.  ·  Int J Nurs Stud  ·  24.07.2026  ·  PMID 42526145</w:t>
      </w:r>
    </w:p>
    <w:p>
      <w:r>
        <w:t>Qualitative Dokumentenanalyse von Urteilen des italienischen Obersten Kasationshofes zu Verurteilungen von Pflegepersonen wegen Verwahrlosung oder Verzögerung bei Pflegeleistungen zwischen 2004 und 2022.</w:t>
      </w:r>
    </w:p>
    <w:p>
      <w:r>
        <w:rPr>
          <w:b/>
        </w:rPr>
        <w:t xml:space="preserve">Ergebnis: </w:t>
      </w:r>
      <w:r>
        <w:t>10 Urteile zwischen Dezember 2004 und Oktober 2022; in 8 Fällen trat Patiententod ein, in 2 Fällen Dauerschäden; häufigste Ausfälle waren unzureichende Vitalzeichenüberwachung, postoperative Versorgung, unzureichende Dokumentation, Vernachlässigung von Basispflege; Ausfälle auf Ebenen von Einzelperson, Station und System identifiziert.</w:t>
      </w:r>
    </w:p>
    <w:p>
      <w:r>
        <w:rPr>
          <w:b/>
          <w:sz w:val="19"/>
        </w:rPr>
        <w:t xml:space="preserve">Übertragbarkeit: </w:t>
      </w:r>
      <w:r>
        <w:rPr>
          <w:sz w:val="19"/>
        </w:rPr>
        <w:t>Italien, anderes Haftungssystem ohne Verschuldensnachweis; Faktoren des Versorgungsausfalls sind relevant</w:t>
      </w:r>
    </w:p>
    <w:p>
      <w:r>
        <w:rPr>
          <w:color w:val="5A7D3A"/>
          <w:sz w:val="18"/>
        </w:rPr>
        <w:t>https://pubmed.ncbi.nlm.nih.gov/42526145/</w:t>
      </w:r>
    </w:p>
    <w:p>
      <w:pPr>
        <w:pStyle w:val="Heading1"/>
      </w:pPr>
      <w:r>
        <w:t>Aufgenommen am 10.09.2026</w:t>
      </w:r>
    </w:p>
    <w:p>
      <w:pPr>
        <w:pStyle w:val="Heading2"/>
      </w:pPr>
      <w:r>
        <w:t>Hospitalisierungsbakterämie als Qualitätsmetrik zeigt bedeutsame Variation zwischen Krankenhäusern</w:t>
      </w:r>
    </w:p>
    <w:p>
      <w:r>
        <w:rPr>
          <w:i/>
          <w:color w:val="666666"/>
          <w:sz w:val="18"/>
        </w:rPr>
        <w:t>Bedard-Lapointe O et al.  ·  JAMA Netw Open  ·  01.09.2026  ·  PMID 42714906</w:t>
      </w:r>
    </w:p>
    <w:p>
      <w:r>
        <w:t>Populationsbasierte Kohortenstudie aller Krankenhausaufnahmen in Ontario 2017–2024; Vergleich der Raten nosokomialer Bakterämien (Hospital-Onset Bacteremia, HOB) an 114 Akutkrankenhäusern unter Adjustierung für Patienten- und Krankenhausmerkmale.</w:t>
      </w:r>
    </w:p>
    <w:p>
      <w:r>
        <w:rPr>
          <w:b/>
        </w:rPr>
        <w:t xml:space="preserve">Ergebnis: </w:t>
      </w:r>
      <w:r>
        <w:t>3.325.900 Aufnahmen, 61.452 HOB-Episoden über 29.721.745 Aufnahmetage, Gesamtrate 2,07 pro 1.000 Aufnahmetage. Über 114 Krankenhäuser deutliche Variation: 10. Perzentil 0,39, 25. Perzentil 0,71, Median 1,08, 75. Perzentil 1,68, 90. Perzentil 2,27 pro 1.000 Aufnahmetage. Random-Intercept für Krankenhäuser SD 0,36 (95%-CI 0,29–0,42), Rate-Ratio 1,43 (95%-CI 1,34–1,52) pro 1 SD. HOB-Rate ein zuverlässiger Qualitätsindikator zur Differenzierung zwischen Kliniken.</w:t>
      </w:r>
    </w:p>
    <w:p>
      <w:r>
        <w:rPr>
          <w:b/>
          <w:sz w:val="19"/>
        </w:rPr>
        <w:t xml:space="preserve">Übertragbarkeit: </w:t>
      </w:r>
      <w:r>
        <w:rPr>
          <w:sz w:val="19"/>
        </w:rPr>
        <w:t>Kanada, vergleichbares öffentliches Gesundheitssystem, Basis für deutsches Qualitätsmonitoring</w:t>
      </w:r>
    </w:p>
    <w:p>
      <w:r>
        <w:rPr>
          <w:color w:val="5A7D3A"/>
          <w:sz w:val="18"/>
        </w:rPr>
        <w:t>https://pubmed.ncbi.nlm.nih.gov/42714906/</w:t>
      </w:r>
    </w:p>
    <w:p>
      <w:pPr>
        <w:pStyle w:val="Heading2"/>
      </w:pPr>
      <w:r>
        <w:t>Sichere Medikation für Migranten mit Sprachbarrieren: partizipatives Interventionsmodell entwickelt</w:t>
      </w:r>
    </w:p>
    <w:p>
      <w:r>
        <w:rPr>
          <w:i/>
          <w:color w:val="666666"/>
          <w:sz w:val="18"/>
        </w:rPr>
        <w:t>Hjelm K et al.  ·  BMC Health Serv Res  ·  07.09.2026  ·  PMID 42711692</w:t>
      </w:r>
    </w:p>
    <w:p>
      <w:r>
        <w:t>Qualitative Studie mit Fokusgruppen (Migranten, Angehörige, Gesundheits- und Apothekenpersonal) zur Identifikation von Unterstützungsbedarf bei sicherer Medikationsverwaltung zu Hause; Entwicklung eines primärärztlichen Unterstützungsmodells.</w:t>
      </w:r>
    </w:p>
    <w:p>
      <w:r>
        <w:rPr>
          <w:b/>
        </w:rPr>
        <w:t xml:space="preserve">Ergebnis: </w:t>
      </w:r>
      <w:r>
        <w:t>Sieben Problembereiche identifiziert: Routinen, Kontinuität, Sprachverständnis, Ressourcen, Patienteneducation, Personalschulung, nationale Maßnahmen. Erforderliche Unterstützung auf allen Ebenen – besonders institutionell und infrastrukturell – sowie in alltäglichen Arzt-Patienten-Interaktionen. Interventionsmodell mit erweitertem interdisziplinärem Team, Angehörigen, Apothekern und erreichbarem Koordinator entwickelt.</w:t>
      </w:r>
    </w:p>
    <w:p>
      <w:r>
        <w:rPr>
          <w:b/>
          <w:sz w:val="19"/>
        </w:rPr>
        <w:t xml:space="preserve">Übertragbarkeit: </w:t>
      </w:r>
      <w:r>
        <w:rPr>
          <w:sz w:val="19"/>
        </w:rPr>
        <w:t>Schweden, übertragbar auf deutsche Migrationspopulation und Mehrsprachigkeit</w:t>
      </w:r>
    </w:p>
    <w:p>
      <w:r>
        <w:rPr>
          <w:color w:val="5A7D3A"/>
          <w:sz w:val="18"/>
        </w:rPr>
        <w:t>https://pubmed.ncbi.nlm.nih.gov/42711692/</w:t>
      </w:r>
    </w:p>
    <w:p>
      <w:pPr>
        <w:pStyle w:val="Heading2"/>
      </w:pPr>
      <w:r>
        <w:t>Medikamentensicherheit bei mitochondrialen Erkrankungen: Metformin, Beta-Blocker, Statine potentiell problematisch</w:t>
      </w:r>
    </w:p>
    <w:p>
      <w:r>
        <w:rPr>
          <w:i/>
          <w:color w:val="666666"/>
          <w:sz w:val="18"/>
        </w:rPr>
        <w:t>Järvinen O et al.  ·  Neurol Sci  ·  06.08.2026  ·  PMID 42560609</w:t>
      </w:r>
    </w:p>
    <w:p>
      <w:r>
        <w:t>Retrospektive Kohortenstudie mit Arzneimittelanalyse von 44 Patienten mit genetisch bestätigter mitochondrialer Erkrankung über 2010–2022; Überprüfung auf mitochondriale Toxizität und Wechselwirkungen.</w:t>
      </w:r>
    </w:p>
    <w:p>
      <w:r>
        <w:rPr>
          <w:b/>
        </w:rPr>
        <w:t xml:space="preserve">Ergebnis: </w:t>
      </w:r>
      <w:r>
        <w:t>~1.000 Medikamenteneinträge überprüft. Häufig verwendete Arzneien mit potentieller mitochondrialer Toxizität identifiziert: Metformin, Beta-Blocker, Statine, Ciprofloxacin, Fluoxetin, Ibuprofen, bestimmte Antiepileptika. Kontraindizierte Medikamente nicht beobachtet; keine Hochrisiko-Wechselwirkungen entdeckt. Klinisch relevant: häufige Analgetika-Nutzung. Schlussfolgerung: Weitere Forschung zu mitochondrialer Sicherheit mehrerer Medikamentenklassen erforderlich; Schmerzmanagement bei mitochondrialen Erkrankungen verdient erhöhte Aufmerksamkeit.</w:t>
      </w:r>
    </w:p>
    <w:p>
      <w:r>
        <w:rPr>
          <w:b/>
          <w:sz w:val="19"/>
        </w:rPr>
        <w:t xml:space="preserve">Übertragbarkeit: </w:t>
      </w:r>
      <w:r>
        <w:rPr>
          <w:sz w:val="19"/>
        </w:rPr>
        <w:t>Finnland, europäische Klinik, Medikamentensicherheit ist universell relevant, übertragbar</w:t>
      </w:r>
    </w:p>
    <w:p>
      <w:r>
        <w:rPr>
          <w:color w:val="5A7D3A"/>
          <w:sz w:val="18"/>
        </w:rPr>
        <w:t>https://pubmed.ncbi.nlm.nih.gov/42560609/</w:t>
      </w:r>
    </w:p>
    <w:p>
      <w:pPr>
        <w:pStyle w:val="Heading2"/>
      </w:pPr>
      <w:r>
        <w:t>Ärztliche und zahnärztliche Studierend sowie Assistenzärzte wenig vorbereitet auf Faktoren der Patientensicherheit</w:t>
      </w:r>
    </w:p>
    <w:p>
      <w:r>
        <w:rPr>
          <w:i/>
          <w:color w:val="666666"/>
          <w:sz w:val="18"/>
        </w:rPr>
        <w:t>Mattey L et al.  ·  Br J Oral Maxillofac Surg  ·  07.03.2026  ·  PMID 42552191</w:t>
      </w:r>
    </w:p>
    <w:p>
      <w:r>
        <w:t>Nationale Querschnittsstudie britischer Medizinstudierender und Assistenzärzte (n=1.274) zu Haltung, Wissen und Erfahrung bezüglich Patientensicherheit, Humanfaktoren und medikolegale Folgen von Fehlern; Vergleich mit Teilnehmern eines maßgeschneiderten Workshops.</w:t>
      </w:r>
    </w:p>
    <w:p>
      <w:r>
        <w:rPr>
          <w:b/>
        </w:rPr>
        <w:t xml:space="preserve">Ergebnis: </w:t>
      </w:r>
      <w:r>
        <w:t>942 Studierende (74,0 %), 332 Assistenzärzte (26,0 %). Häufigste Humanfaktoren: Zeitdruck (57,0 %), Müdigkeit (56,2 %), mangelhafte Übergaben (43,8 %). Bereitschaft zum Umgang mit Humanfaktoren (Median 3/5) und Selbstsicherheit zu Einspruch (Median 3/5) bei Absolventen von Regelschulen signifikant niedriger vs. Privatschule (adjustiertes OR 0,70, 95%-CI 0,57–0,87). 62,2 % fehlte rechtliche Orientierung zu Fehlerfolgen; fast Hälfte wusste nicht, wo Unterstützung zu suchen ist. Workshop-Teilnehmer (n=21) berichteten größere Bereitschaft und Selbstsicherheit bei Einspruch (p &lt; 0,001). Trotz häufigem Kontakt mit Sicherheitsfaktoren nur mäßig vorbereitet und unterstützt.</w:t>
      </w:r>
    </w:p>
    <w:p>
      <w:r>
        <w:rPr>
          <w:b/>
          <w:sz w:val="19"/>
        </w:rPr>
        <w:t xml:space="preserve">Übertragbarkeit: </w:t>
      </w:r>
      <w:r>
        <w:rPr>
          <w:sz w:val="19"/>
        </w:rPr>
        <w:t>Großbritannien, deutschsprachiges System hat ähnliche Lücken in Ausbildung von Medizinern</w:t>
      </w:r>
    </w:p>
    <w:p>
      <w:r>
        <w:rPr>
          <w:color w:val="5A7D3A"/>
          <w:sz w:val="18"/>
        </w:rPr>
        <w:t>https://pubmed.ncbi.nlm.nih.gov/42552191/</w:t>
      </w:r>
    </w:p>
    <w:p>
      <w:pPr>
        <w:pStyle w:val="Heading2"/>
      </w:pPr>
      <w:r>
        <w:t>MRSA-Screening aller Risikopatienten senkt Infektionen und Kosten in spanischen Kliniken</w:t>
      </w:r>
    </w:p>
    <w:p>
      <w:r>
        <w:rPr>
          <w:i/>
          <w:color w:val="666666"/>
          <w:sz w:val="18"/>
        </w:rPr>
        <w:t>Diaz-Brito V et al.  ·  J Med Econ  ·  16.07.2026  ·  PMID 42464566</w:t>
      </w:r>
    </w:p>
    <w:p>
      <w:r>
        <w:t>Modellbasierte Kostenfolgen-Analyse von MRSA-Screening bei Krankenhauspatienten mit hohem Risiko; Vergleich molekulares PCR-Screening versus Kultur versus aktuelle spanische Praxis (Kultur nur in Intensivstationen).</w:t>
      </w:r>
    </w:p>
    <w:p>
      <w:r>
        <w:rPr>
          <w:b/>
        </w:rPr>
        <w:t xml:space="preserve">Ergebnis: </w:t>
      </w:r>
      <w:r>
        <w:t>Molekulares PCR-Screening aller Hochrisikapatienten versus Kulturbasis: 7,4 mehr positive Tests, 4,3 mehr erfolgreiche Dekolo­nisierungen, 0,8 weniger MRSA-Infektionen, Kostenersparnis 748.971 € (−438,8 €/getesteter Patient). Versus aktuelle Praxis (nur Intensivstation): 113,3 mehr positive Tests, 12,6 weniger Infektionen, 3,4 weniger Todesfälle, Kosteneinsparung 272.118 € (−3.278 €/getesteter Patient). Screening mit PCR war kostensparender trotz höherer Testkosten.</w:t>
      </w:r>
    </w:p>
    <w:p>
      <w:r>
        <w:rPr>
          <w:b/>
          <w:sz w:val="19"/>
        </w:rPr>
        <w:t xml:space="preserve">Übertragbarkeit: </w:t>
      </w:r>
      <w:r>
        <w:rPr>
          <w:sz w:val="19"/>
        </w:rPr>
        <w:t>Spanien, vergleichbares Versicherungssystem mit Deutschland, unmittelbar anwendbar</w:t>
      </w:r>
    </w:p>
    <w:p>
      <w:r>
        <w:rPr>
          <w:color w:val="5A7D3A"/>
          <w:sz w:val="18"/>
        </w:rPr>
        <w:t>https://pubmed.ncbi.nlm.nih.gov/42464566/</w:t>
      </w:r>
    </w:p>
    <w:p>
      <w:pPr>
        <w:pStyle w:val="Heading2"/>
      </w:pPr>
      <w:r>
        <w:t>Serotoninsyndom bei Polypharmaka: Fentanyl und Tramadol als übersehene Risiken</w:t>
      </w:r>
    </w:p>
    <w:p>
      <w:r>
        <w:rPr>
          <w:i/>
          <w:color w:val="666666"/>
          <w:sz w:val="18"/>
        </w:rPr>
        <w:t>Blyzniuk B et al.  ·  Eur J Clin Pharmacol  ·  17.07.2026  ·  PMID 42463509</w:t>
      </w:r>
    </w:p>
    <w:p>
      <w:r>
        <w:t>Systematische Literaturübersicht mit Fallanalyse von 764 publizierten Serotoninsyndom-Fällen in Erwachsenen; Analyse von Medikamentenkombinationen und Outcomes zwischen Suizidversuch und Routinemedikation.</w:t>
      </w:r>
    </w:p>
    <w:p>
      <w:r>
        <w:rPr>
          <w:b/>
        </w:rPr>
        <w:t xml:space="preserve">Ergebnis: </w:t>
      </w:r>
      <w:r>
        <w:t>764 Fälle eingeschlossen; 653 (85,6 %) erfüllten Sternbach-, 496 (65,0 %) Hunter-Kriterien. Suizidvorsätze: 79,4 % Intensivstationen, 18,0 % Mortalität; Routinemedikation: 35,6 % Intensivstation, 5,1 % Mortalität (beide p &lt; 0,001). Von 645 Routinefällen 92,9 % Kombinationstherapie; Monotherapie mild, meist nach Start neuer Antidepressiva bei jüngeren Patienten. Netzwerk-Analyse: Trazodone am häufigsten verbundenes Antidepressivum; Fentanyl und Tramadol als zentrale Nicht-Antidepressiva-Knoten. Fünf Fälle nach Antipsychotika-Absetzen bei beibehaltenen Serotonergika.</w:t>
      </w:r>
    </w:p>
    <w:p>
      <w:r>
        <w:rPr>
          <w:b/>
          <w:sz w:val="19"/>
        </w:rPr>
        <w:t xml:space="preserve">Übertragbarkeit: </w:t>
      </w:r>
      <w:r>
        <w:rPr>
          <w:sz w:val="19"/>
        </w:rPr>
        <w:t>Schweiz, deutschsprachig, vergleichbare Polypharmaka-Probleme im europäischen Gesundheitswesen</w:t>
      </w:r>
    </w:p>
    <w:p>
      <w:r>
        <w:rPr>
          <w:color w:val="5A7D3A"/>
          <w:sz w:val="18"/>
        </w:rPr>
        <w:t>https://pubmed.ncbi.nlm.nih.gov/42463509/</w:t>
      </w:r>
    </w:p>
    <w:p>
      <w:pPr>
        <w:pStyle w:val="Heading1"/>
      </w:pPr>
      <w:r>
        <w:t>Aufgenommen am 09.09.2026</w:t>
      </w:r>
    </w:p>
    <w:p>
      <w:pPr>
        <w:pStyle w:val="Heading2"/>
      </w:pPr>
      <w:r>
        <w:t>85% der Schlafstudien melden Nebenwirkungen inkonsistent: Registry-Publikations-Diskordanz gefährdet Patientensicherheit</w:t>
      </w:r>
    </w:p>
    <w:p>
      <w:r>
        <w:rPr>
          <w:i/>
          <w:color w:val="666666"/>
          <w:sz w:val="18"/>
        </w:rPr>
        <w:t>Lackey M et al.  ·  BMJ Open  ·  08.09.2026  ·  PMID 42711075</w:t>
      </w:r>
    </w:p>
    <w:p>
      <w:r>
        <w:t>Querschnitt 168 Schlafstudien: Vergleich Nebenwirkungsmelderaten ClinicalTrials.gov versus peer-review-Publikationen; Ursachen und Lokalisierung der Meldungen analysiert.</w:t>
      </w:r>
    </w:p>
    <w:p>
      <w:r>
        <w:rPr>
          <w:b/>
        </w:rPr>
        <w:t xml:space="preserve">Ergebnis: </w:t>
      </w:r>
      <w:r>
        <w:t>143/168 (85,1%) mit Diskrepanzen schwerwiegender Ereignisse; Patient-Zahlen-Varianz 73,2%; 35,1% ohne Nebenwirkungsdaten. Post-Final-Rule-Studien bessere Registry-Meldung, aber Diskordanz persistiert. 17% Sterblichkeitsunterschätzung möglich.</w:t>
      </w:r>
    </w:p>
    <w:p>
      <w:r>
        <w:rPr>
          <w:b/>
          <w:sz w:val="19"/>
        </w:rPr>
        <w:t xml:space="preserve">Übertragbarkeit: </w:t>
      </w:r>
      <w:r>
        <w:rPr>
          <w:sz w:val="19"/>
        </w:rPr>
        <w:t>USA (Trial-Registry), Publikationsbias; Befund (Reporting-Lücken) auf deutsches Register-Publikations-Gap übertragbar</w:t>
      </w:r>
    </w:p>
    <w:p>
      <w:r>
        <w:rPr>
          <w:color w:val="5A7D3A"/>
          <w:sz w:val="18"/>
        </w:rPr>
        <w:t>https://pubmed.ncbi.nlm.nih.gov/42711075/</w:t>
      </w:r>
    </w:p>
    <w:p>
      <w:pPr>
        <w:pStyle w:val="Heading2"/>
      </w:pPr>
      <w:r>
        <w:t>Rekapillarisierungszeit bei akuter Entzündung: bettseitiger Test allein nicht sepsistauglich</w:t>
      </w:r>
    </w:p>
    <w:p>
      <w:r>
        <w:rPr>
          <w:i/>
          <w:color w:val="666666"/>
          <w:sz w:val="18"/>
        </w:rPr>
        <w:t>Gustavsson H et al.  ·  Crit Care  ·  31.08.2026  ·  PMID 42706575</w:t>
      </w:r>
    </w:p>
    <w:p>
      <w:r>
        <w:t>Prospektives humanes Endotoxämie-Modell (n=25): Die quantitativ gemessene Rekapillarisierungszeit (qCRT) durchlief unter LPS-induzierter systemischer Entzündung einen zweiphasigen Verlauf und überschritt den klinischen Schwellenwert von drei Sekunden in beide Richtungen.</w:t>
      </w:r>
    </w:p>
    <w:p>
      <w:r>
        <w:rPr>
          <w:b/>
        </w:rPr>
        <w:t xml:space="preserve">Ergebnis: </w:t>
      </w:r>
      <w:r>
        <w:t>Die qCRT stieg von etwa 3,5 s zu Beginn auf 8,31 s nach 1,5 Stunden (bei 14 von 25 Probanden wurde die Messobergrenze von 10 s erreicht) und fiel nach 5 Stunden auf 1,27 s. Die Streuung zwischen den Probanden war gering (ICC 0,30); den größten Anteil an der Varianz erklärte die Hauttemperatur. Ein einzelner fester Schwellenwert ist damit nicht verlässlich; die wiederholte Messung am selben Patienten sagt mehr aus als ein Populationsgrenzwert.</w:t>
      </w:r>
    </w:p>
    <w:p>
      <w:r>
        <w:rPr>
          <w:b/>
          <w:sz w:val="19"/>
        </w:rPr>
        <w:t xml:space="preserve">Übertragbarkeit: </w:t>
      </w:r>
      <w:r>
        <w:rPr>
          <w:sz w:val="19"/>
        </w:rPr>
        <w:t>Schweden (Uppsala), physiologische Validierung; Übertragbarkeit auf Sepsisverdacht in Notaufnahmen begrenzt ohne prospektive Patientenstudien</w:t>
      </w:r>
    </w:p>
    <w:p>
      <w:r>
        <w:rPr>
          <w:color w:val="5A7D3A"/>
          <w:sz w:val="18"/>
        </w:rPr>
        <w:t>https://pubmed.ncbi.nlm.nih.gov/42706575/</w:t>
      </w:r>
    </w:p>
    <w:p>
      <w:pPr>
        <w:pStyle w:val="Heading2"/>
      </w:pPr>
      <w:r>
        <w:t>Elektronische Dosierungskorrekturen für DOAC bei älteren Frauen: Benachrichtigungen erreichen nur 33% der Therapieänderungen bei Hochrisiko-Patienten</w:t>
      </w:r>
    </w:p>
    <w:p>
      <w:r>
        <w:rPr>
          <w:i/>
          <w:color w:val="666666"/>
          <w:sz w:val="18"/>
        </w:rPr>
        <w:t>Saraswat A et al.  ·  Res Pract Thromb Haemost  ·  06.08.2026  ·  PMID 42699097</w:t>
      </w:r>
    </w:p>
    <w:p>
      <w:r>
        <w:t>USA, Michigan: Evaluation elektronischer Benachrichtigungen zu DOAC-Dosierungsfehlern; 32,7% führten zu Dosisanpassung; Gründe für Nichtbefolgung dokumentiert.</w:t>
      </w:r>
    </w:p>
    <w:p>
      <w:r>
        <w:rPr>
          <w:b/>
        </w:rPr>
        <w:t xml:space="preserve">Ergebnis: </w:t>
      </w:r>
      <w:r>
        <w:t>Apixaban-Fehler zu 87,8% bei ≥80 Jahren. Dosisreduktion 52% Änderungsquote, Dosiserhöhung nur 16,8% (p&lt;0,001). Originale Verschreiber dokumentierten Ablehnungsgründe in 46,1%, Pharmazeuten in 90,5%. Nierenrückgang, Gewicht, Blutungsrisiko häufigste Ablehnungsgründe.</w:t>
      </w:r>
    </w:p>
    <w:p>
      <w:r>
        <w:rPr>
          <w:b/>
          <w:sz w:val="19"/>
        </w:rPr>
        <w:t xml:space="preserve">Übertragbarkeit: </w:t>
      </w:r>
      <w:r>
        <w:rPr>
          <w:sz w:val="19"/>
        </w:rPr>
        <w:t>USA (Haftungsklima anders), aber Fehlererkennungssystem auf deutsches QM-System übertragbar</w:t>
      </w:r>
    </w:p>
    <w:p>
      <w:r>
        <w:rPr>
          <w:color w:val="5A7D3A"/>
          <w:sz w:val="18"/>
        </w:rPr>
        <w:t>https://pubmed.ncbi.nlm.nih.gov/42699097/</w:t>
      </w:r>
    </w:p>
    <w:p>
      <w:pPr>
        <w:pStyle w:val="Heading2"/>
      </w:pPr>
      <w:r>
        <w:t>Infektionen unter MS-Therapie: italienisches Register zeigt Nutzen von Echtdaten-Vigilanz trotz methodischer Grenzen</w:t>
      </w:r>
    </w:p>
    <w:p>
      <w:r>
        <w:rPr>
          <w:i/>
          <w:color w:val="666666"/>
          <w:sz w:val="18"/>
        </w:rPr>
        <w:t>Salivetto M et al.  ·  Pharmacoepidemiol Drug Saf  ·  Aug. 2026  ·  PMID 42528095</w:t>
      </w:r>
    </w:p>
    <w:p>
      <w:r>
        <w:t>Italienisches MS-Register (RISM) 2016–2025: 24.259 Patienten mit krankheitsmodifizierender Therapie, 4.419 (18,2%) mit Klinischen Ereignissen; Infektionen 29,4%, Malignität 3,7%; prospektive Datenqualitätskontrolle implementiert.</w:t>
      </w:r>
    </w:p>
    <w:p>
      <w:r>
        <w:rPr>
          <w:b/>
        </w:rPr>
        <w:t xml:space="preserve">Ergebnis: </w:t>
      </w:r>
      <w:r>
        <w:t>Bei 24.259 Therapieinitiationen 18,2% mit dokumentiertem Ereignis; Infektionsanteil 29,4% aller Events. Stärken: umfassendes Langzeit-Tracking, Patientenperspektive. Grenzen: methodische Herausforderungen bei Sekundärdaten, Meldepflichten variabel, nationale Transferbarkeit eingeschränkt.</w:t>
      </w:r>
    </w:p>
    <w:p>
      <w:r>
        <w:rPr>
          <w:b/>
          <w:sz w:val="19"/>
        </w:rPr>
        <w:t xml:space="preserve">Übertragbarkeit: </w:t>
      </w:r>
      <w:r>
        <w:rPr>
          <w:sz w:val="19"/>
        </w:rPr>
        <w:t>Italien (vergleichbares EU-Melderecht), kohortales Design; Struktur relevant für deutsches Klinik-Pharmakovigilance-Register</w:t>
      </w:r>
    </w:p>
    <w:p>
      <w:r>
        <w:rPr>
          <w:color w:val="5A7D3A"/>
          <w:sz w:val="18"/>
        </w:rPr>
        <w:t>https://pubmed.ncbi.nlm.nih.gov/42528095/</w:t>
      </w:r>
    </w:p>
    <w:p>
      <w:pPr>
        <w:pStyle w:val="Heading2"/>
      </w:pPr>
      <w:r>
        <w:t>Lamotrigin erhöht SJS/TEN-Risiko 173fach: dänische Inzidenzkohorte quantifiziert Arzneimittelschaden bei Antikonvulsiva</w:t>
      </w:r>
    </w:p>
    <w:p>
      <w:r>
        <w:rPr>
          <w:i/>
          <w:color w:val="666666"/>
          <w:sz w:val="18"/>
        </w:rPr>
        <w:t>Heerfordt IM et al.  ·  Neurology  ·  11.08.2026  ·  PMID 42467870</w:t>
      </w:r>
    </w:p>
    <w:p>
      <w:r>
        <w:t>Dänische Bevölkerungskohorte 1995–2024: 1.388.397 Antikonvulsiva-Initiationen, 83 SJS/TEN-Fälle in 90 Tagen; Mortalität 17%, Ereignisse konzentriert auf erste Wochen.</w:t>
      </w:r>
    </w:p>
    <w:p>
      <w:r>
        <w:rPr>
          <w:b/>
        </w:rPr>
        <w:t xml:space="preserve">Ergebnis: </w:t>
      </w:r>
      <w:r>
        <w:t>Lamotrigin 29,31/100.000 (95% KI 21,46–39,09); Carbamazepin 16,66 (8,32–29,80); Phenobarbital 15,84; Oxcarbazepin 11,25; Valproat 7,31/100.000. Gabapentinoide deutlich niedriger (Pregabalin 2,26, Gabapentin 1,24). Hintergrund 0,17/100.000. 7% aller SJS/TEN-Fälle Dänemarks antikonvulsiva-assoziiert.</w:t>
      </w:r>
    </w:p>
    <w:p>
      <w:r>
        <w:rPr>
          <w:b/>
          <w:sz w:val="19"/>
        </w:rPr>
        <w:t xml:space="preserve">Übertragbarkeit: </w:t>
      </w:r>
      <w:r>
        <w:rPr>
          <w:sz w:val="19"/>
        </w:rPr>
        <w:t>Dänemark (Melderegister), Inzidenzkohorte; europäische Baseline für Vergleichbarkeit mit deutschem Arzneimittelrisiko</w:t>
      </w:r>
    </w:p>
    <w:p>
      <w:r>
        <w:rPr>
          <w:color w:val="5A7D3A"/>
          <w:sz w:val="18"/>
        </w:rPr>
        <w:t>https://pubmed.ncbi.nlm.nih.gov/42467870/</w:t>
      </w:r>
    </w:p>
    <w:p>
      <w:pPr>
        <w:pStyle w:val="Heading2"/>
      </w:pPr>
      <w:r>
        <w:t>Automatisierte nosokomiale Sepsis-Erfassung über Laborresistenzdaten machbar: niederländisches Pilotierungsprojekt zeigt Machbarkeit mit Grenzen</w:t>
      </w:r>
    </w:p>
    <w:p>
      <w:r>
        <w:rPr>
          <w:i/>
          <w:color w:val="666666"/>
          <w:sz w:val="18"/>
        </w:rPr>
        <w:t>Brekelmans M et al.  ·  Euro Surveill  ·  Juli 2026  ·  PMID 42464816</w:t>
      </w:r>
    </w:p>
    <w:p>
      <w:r>
        <w:t>Niederlande 2018–2023: automated surveillance von hospital-onset bacteraemia/fungaemia (HOB) mittels nationales Resistenz-Surveillance-System (ISIS-AR); Feasibility-Evaluation an vier Kliniken mit outcome validation.</w:t>
      </w:r>
    </w:p>
    <w:p>
      <w:r>
        <w:rPr>
          <w:b/>
        </w:rPr>
        <w:t xml:space="preserve">Ergebnis: </w:t>
      </w:r>
      <w:r>
        <w:t>Ältere Parameter &gt;80% dokumentiert; Aufnahmetermin nur in 14/105 Kliniken. Outcome-Validierung: sichere HOB-Identifikation bei Nicht-Kommensalen, variable Sensitivität bei Kommensalen (Laborpolitik-abhängig). Interviewpartner sehen Wert auf Hospitalebene und Benchmarking; nationale Trend-Überwachung unklar.</w:t>
      </w:r>
    </w:p>
    <w:p>
      <w:r>
        <w:rPr>
          <w:b/>
          <w:sz w:val="19"/>
        </w:rPr>
        <w:t xml:space="preserve">Übertragbarkeit: </w:t>
      </w:r>
      <w:r>
        <w:rPr>
          <w:sz w:val="19"/>
        </w:rPr>
        <w:t>Niederlande (vergleichbares Versicherungs- und Meldewesen), Sekundärdaten-Nutzung; direkter Transfer auf deutsches Surveillancesystem möglich</w:t>
      </w:r>
    </w:p>
    <w:p>
      <w:r>
        <w:rPr>
          <w:color w:val="5A7D3A"/>
          <w:sz w:val="18"/>
        </w:rPr>
        <w:t>https://pubmed.ncbi.nlm.nih.gov/42464816/</w:t>
      </w:r>
    </w:p>
    <w:p>
      <w:pPr>
        <w:pStyle w:val="Heading1"/>
      </w:pPr>
      <w:r>
        <w:t>Aufgenommen am 08.09.2026</w:t>
      </w:r>
    </w:p>
    <w:p>
      <w:pPr>
        <w:pStyle w:val="Heading2"/>
      </w:pPr>
      <w:r>
        <w:t>Prospektive Verschreibungsprüfung senkte irrationale Verordnungen um 1,56 Prozentpunkte; Intervention mit Modus bestimmt Erfolg</w:t>
      </w:r>
    </w:p>
    <w:p>
      <w:r>
        <w:rPr>
          <w:i/>
          <w:color w:val="666666"/>
          <w:sz w:val="18"/>
        </w:rPr>
        <w:t>Tang F et al.  ·  JMIR Form Res  ·  27.08.2026  ·  PMID 42704205</w:t>
      </w:r>
    </w:p>
    <w:p>
      <w:r>
        <w:t>Retrospektive Kohortenstudie an Augenklinik in Shanghai mit 2.559.342 ambulanten/Notfall-Rezepten 2024: Evaluation eines prospektiven Verschreibungsprüf-Systems zur Reduktion irrationaler Verordnungen; primäres Outcome: Quote erfolgreich interceptierter Rezepte nach Prüfmodus (Erinnerung, Warnung, obligatorisch).</w:t>
      </w:r>
    </w:p>
    <w:p>
      <w:r>
        <w:rPr>
          <w:b/>
        </w:rPr>
        <w:t xml:space="preserve">Ergebnis: </w:t>
      </w:r>
      <w:r>
        <w:t>Gesamt-Interceptionsquote 32,99 % (40.877/123.914 irrationaler Rezepte). Rezept-Rationalitätsrate stieg von 95,23 % auf 96,79 % nach Ausschluss interceptierter Rezepte (p &lt; 0,001). Obligatorischer Prüfmodus höchste Quote (96,91 %), Erinnerung niedrigste (0,99 %). Pharmakisten-Mitarbeit steigerte Erfolg auf 85,63 %.</w:t>
      </w:r>
    </w:p>
    <w:p>
      <w:r>
        <w:rPr>
          <w:b/>
          <w:sz w:val="19"/>
        </w:rPr>
        <w:t xml:space="preserve">Übertragbarkeit: </w:t>
      </w:r>
      <w:r>
        <w:rPr>
          <w:sz w:val="19"/>
        </w:rPr>
        <w:t>China, aber Designprinzip (prospektive Überprüfung vor Dispensierung) auch im deutschen Apotheken-Standard etabliert</w:t>
      </w:r>
    </w:p>
    <w:p>
      <w:r>
        <w:rPr>
          <w:color w:val="5A7D3A"/>
          <w:sz w:val="18"/>
        </w:rPr>
        <w:t>https://pubmed.ncbi.nlm.nih.gov/42704205/</w:t>
      </w:r>
    </w:p>
    <w:p>
      <w:pPr>
        <w:pStyle w:val="Heading2"/>
      </w:pPr>
      <w:r>
        <w:t>Frühere Knie- und Schulter-Arthroskopie erhöhen Infektionsrisiko nach Endoprothese, Hüfte nicht</w:t>
      </w:r>
    </w:p>
    <w:p>
      <w:r>
        <w:rPr>
          <w:i/>
          <w:color w:val="666666"/>
          <w:sz w:val="18"/>
        </w:rPr>
        <w:t>Liu H et al.  ·  J Invest Surg  ·  07.09.2026  ·  PMID 42704073</w:t>
      </w:r>
    </w:p>
    <w:p>
      <w:r>
        <w:t>Meta-Analyse von 31 Beobachtungsstudien: Odds Ratios für nosokomiale Infektionen nach Knie-, Hüft- und Schulter-Endoprothesen in Abhängigkeit von vorausgegangener Arthroskopie desselben oder anderer Gelenke.</w:t>
      </w:r>
    </w:p>
    <w:p>
      <w:r>
        <w:rPr>
          <w:b/>
        </w:rPr>
        <w:t xml:space="preserve">Ergebnis: </w:t>
      </w:r>
      <w:r>
        <w:t>Frühere Knie-Arthroskopie: erhöhtes Infektionsrisiko (OR 1,33, 95%-KI 1,14–1,56); frühere Schulter-Arthroskopie: erhöhtes Risiko für Tiefinfektionen (OR erhöht); frühere Hüft-Arthroskopie: kein signifikanter Zusammenhang. Gepoolte Gesamtinfektionsrate 2 %. Jointspecific Risk-Stratifikation erforderlich.</w:t>
      </w:r>
    </w:p>
    <w:p>
      <w:r>
        <w:rPr>
          <w:b/>
          <w:sz w:val="19"/>
        </w:rPr>
        <w:t xml:space="preserve">Übertragbarkeit: </w:t>
      </w:r>
      <w:r>
        <w:rPr>
          <w:sz w:val="19"/>
        </w:rPr>
        <w:t>Internationale Metaanalyse, Ergebnisse auf deutsches Trauma/Orthopädie-System übertragbar</w:t>
      </w:r>
    </w:p>
    <w:p>
      <w:r>
        <w:rPr>
          <w:color w:val="5A7D3A"/>
          <w:sz w:val="18"/>
        </w:rPr>
        <w:t>https://pubmed.ncbi.nlm.nih.gov/42704073/</w:t>
      </w:r>
    </w:p>
    <w:p>
      <w:pPr>
        <w:pStyle w:val="Heading2"/>
      </w:pPr>
      <w:r>
        <w:t>Chirurgische Wundinfektionen: Surveillance, Audit und perioperative Maßnahmen-Bundle zur Prävention</w:t>
      </w:r>
    </w:p>
    <w:p>
      <w:r>
        <w:rPr>
          <w:i/>
          <w:color w:val="666666"/>
          <w:sz w:val="18"/>
        </w:rPr>
        <w:t>Ambrosie L et al.  ·  Chirurgia (Bucur)  ·  Juli 2026  ·  PMID 42703985</w:t>
      </w:r>
    </w:p>
    <w:p>
      <w:r>
        <w:t>Strukturierte Narrativ-Review zur nosokomialen Infektionsprävention in der Allgemeinchirurgie: kritische Analyse von Definitionen, Surveillance, Audit, Antibiotika-Resistenz und perioperativer Vorbeugung mit Fokus auf Chirurgische Wundinfektionen (SSI) – mit Maßnahmen-Bundle und Audit-Dashboard.</w:t>
      </w:r>
    </w:p>
    <w:p>
      <w:r>
        <w:rPr>
          <w:b/>
        </w:rPr>
        <w:t xml:space="preserve">Ergebnis: </w:t>
      </w:r>
      <w:r>
        <w:t>Empfehlungsgrundlagen: korrekte Antibiotika-Prophylaxe, alkoholhaltige Hautdesinfektion, Vermeidung intraoperativer Hypothermie, aseptische Praxis, Stewardship und Post-Entlassung-Fallermittlung sind konsistent durch Evidenz gestützt. Bundles können SSI reduzieren, aber Effekt hängt von Adhärenz und Kontext ab; größere Bundles nicht automatisch wirksamer.</w:t>
      </w:r>
    </w:p>
    <w:p>
      <w:r>
        <w:rPr>
          <w:b/>
          <w:sz w:val="19"/>
        </w:rPr>
        <w:t xml:space="preserve">Übertragbarkeit: </w:t>
      </w:r>
      <w:r>
        <w:rPr>
          <w:sz w:val="19"/>
        </w:rPr>
        <w:t>Rumänien, europäischer Ansatz zu SSI-Prävention, KRINKO-kompatibel</w:t>
      </w:r>
    </w:p>
    <w:p>
      <w:r>
        <w:rPr>
          <w:color w:val="5A7D3A"/>
          <w:sz w:val="18"/>
        </w:rPr>
        <w:t>https://pubmed.ncbi.nlm.nih.gov/42703985/</w:t>
      </w:r>
    </w:p>
    <w:p>
      <w:pPr>
        <w:pStyle w:val="Heading2"/>
      </w:pPr>
      <w:r>
        <w:t>Standardmaßnahmen ohne Isolierung reduzierten ESBL-E-Infektionen ähnlich wie Isolierung – non-inferiority-Design zur Versorgungsoptimierung</w:t>
      </w:r>
    </w:p>
    <w:p>
      <w:r>
        <w:rPr>
          <w:i/>
          <w:color w:val="666666"/>
          <w:sz w:val="18"/>
        </w:rPr>
        <w:t>Ezzi O et al.  ·  PLoS One  ·  21.07.2026  ·  PMID 42479741</w:t>
      </w:r>
    </w:p>
    <w:p>
      <w:r>
        <w:t>Prospektiver Interventionsstudie in französischen geriatrischen Stationen: Vergleich Standard Precautions (SP) ohne Isolierung gegen Isolierung nur bei klinisch erkannten ESBL-E-Infektionen. Primärausgang: Inzidenzrate neuer ESBL-E-Akquisitionen pro 1.000 Patiententage.</w:t>
      </w:r>
    </w:p>
    <w:p>
      <w:r>
        <w:rPr>
          <w:b/>
        </w:rPr>
        <w:t xml:space="preserve">Ergebnis: </w:t>
      </w:r>
      <w:r>
        <w:t>Studienprotokoll mit Studiendesign (crossover mit alternierenden Perioden, 4-Jahres-Laufzeit). Ziel: Non-Inferiority von SP zu zeigen. Ergebnis noch nicht vorgelegen, aber Design adressiert das versorgungskritische Problem unnötiger Isolierungen bei stabiler Epidemiologie.</w:t>
      </w:r>
    </w:p>
    <w:p>
      <w:r>
        <w:rPr>
          <w:b/>
          <w:sz w:val="19"/>
        </w:rPr>
        <w:t xml:space="preserve">Übertragbarkeit: </w:t>
      </w:r>
      <w:r>
        <w:rPr>
          <w:sz w:val="19"/>
        </w:rPr>
        <w:t>Frankreich, vergleichbar mit DACH-Systemen, Infektionsschutz-Standard</w:t>
      </w:r>
    </w:p>
    <w:p>
      <w:r>
        <w:rPr>
          <w:color w:val="5A7D3A"/>
          <w:sz w:val="18"/>
        </w:rPr>
        <w:t>https://pubmed.ncbi.nlm.nih.gov/42479741/</w:t>
      </w:r>
    </w:p>
    <w:p>
      <w:pPr>
        <w:pStyle w:val="Heading2"/>
      </w:pPr>
      <w:r>
        <w:t>Spanische Validierung der Hospital Survey on Patient Safety Culture v2: robust messbare Sicherheitskultur in 4 Krankenhäusern</w:t>
      </w:r>
    </w:p>
    <w:p>
      <w:r>
        <w:rPr>
          <w:i/>
          <w:color w:val="666666"/>
          <w:sz w:val="18"/>
        </w:rPr>
        <w:t>Lopez-Picazo JJ et al.  ·  J Eval Clin Pract  ·  Aug. 2026  ·  PMID 42472383</w:t>
      </w:r>
    </w:p>
    <w:p>
      <w:r>
        <w:t>Querschnittliche Validierungsstudie in 4 spanischen Krankenhäusern mit 369 Fachpersonen zur psychometrischen Anpassung der HSOPS v2 ins Spanische: Confirmatory Factor Analysis mit WLSMV-Schätzer, Messung von Reliabilität, konvergenter und diskriminanter Validität.</w:t>
      </w:r>
    </w:p>
    <w:p>
      <w:r>
        <w:rPr>
          <w:b/>
        </w:rPr>
        <w:t xml:space="preserve">Ergebnis: </w:t>
      </w:r>
      <w:r>
        <w:t>10-Faktor-Modell mit zufriedenstellenden Fit-Indizes (CFI, TLI &gt; 0,90; RMSEA &lt; 0,06; SRMR &lt; 0,08). Cronbach α und composite reliability &gt; 0,70 in 8 von 10 Dimensionen. Diskriminanzvalidität unterstützt. Spanische HSOPS v2 zur Sicherheitskultur-Messung geeignet.</w:t>
      </w:r>
    </w:p>
    <w:p>
      <w:r>
        <w:rPr>
          <w:b/>
          <w:sz w:val="19"/>
        </w:rPr>
        <w:t xml:space="preserve">Übertragbarkeit: </w:t>
      </w:r>
      <w:r>
        <w:rPr>
          <w:sz w:val="19"/>
        </w:rPr>
        <w:t>Spanien, vergleichbar mit deutschem Ansatz zur Sicherheitskultur-Erfassung</w:t>
      </w:r>
    </w:p>
    <w:p>
      <w:r>
        <w:rPr>
          <w:color w:val="5A7D3A"/>
          <w:sz w:val="18"/>
        </w:rPr>
        <w:t>https://pubmed.ncbi.nlm.nih.gov/42472383/</w:t>
      </w:r>
    </w:p>
    <w:p>
      <w:pPr>
        <w:pStyle w:val="Heading2"/>
      </w:pPr>
      <w:r>
        <w:t>Klinische Entscheidungsfindung bei Verdacht auf maternale Sepsis: Überbehandlung mit Breitspektrumantibiotika um 21 % vermeidet Todesfälle, aber Stewardship scheitert</w:t>
      </w:r>
    </w:p>
    <w:p>
      <w:r>
        <w:rPr>
          <w:i/>
          <w:color w:val="666666"/>
          <w:sz w:val="18"/>
        </w:rPr>
        <w:t>Kingdon C et al.  ·  BMJ Open  ·  17.07.2026  ·  PMID 42468961</w:t>
      </w:r>
    </w:p>
    <w:p>
      <w:r>
        <w:t>Qualitative Studie mit 24 UK-Klinikern (Geburtshelfer, Anästhesisten, Hebammen) zur Entscheidungsfindung bei Verdacht auf maternale Sepsis in der Geburtshilfe: Sie zeigt, dass 21 von 24 Klinikern Überbehandlung als Problem erachten, aber Angst vor Sepsismissdiagnose die Antibiotic Stewardship überlagert.</w:t>
      </w:r>
    </w:p>
    <w:p>
      <w:r>
        <w:rPr>
          <w:b/>
        </w:rPr>
        <w:t xml:space="preserve">Ergebnis: </w:t>
      </w:r>
      <w:r>
        <w:t>21 von 24 Klinikern (87,5 %) bestätigten Überbehandlung als Problem; Angst vor Sepsismissdiagnose dominiert klinische Entscheidungen. Bessere Point-of-Care-Diagnostik und Leitlinien-Anpassungen sind erforderlich – ohne diese bleibt Overtreatment unvermeidlich.</w:t>
      </w:r>
    </w:p>
    <w:p>
      <w:r>
        <w:rPr>
          <w:b/>
          <w:sz w:val="19"/>
        </w:rPr>
        <w:t xml:space="preserve">Übertragbarkeit: </w:t>
      </w:r>
      <w:r>
        <w:rPr>
          <w:sz w:val="19"/>
        </w:rPr>
        <w:t>UK-NHS, vergleichbar mit deutschem Versorgungsauftrag, aber anderes Melderecht</w:t>
      </w:r>
    </w:p>
    <w:p>
      <w:r>
        <w:rPr>
          <w:color w:val="5A7D3A"/>
          <w:sz w:val="18"/>
        </w:rPr>
        <w:t>https://pubmed.ncbi.nlm.nih.gov/42468961/</w:t>
      </w:r>
    </w:p>
    <w:p>
      <w:pPr>
        <w:pStyle w:val="Heading1"/>
      </w:pPr>
      <w:r>
        <w:t>Aufgenommen am 07.09.2026</w:t>
      </w:r>
    </w:p>
    <w:p>
      <w:pPr>
        <w:pStyle w:val="Heading2"/>
      </w:pPr>
      <w:r>
        <w:t>Antibiotic Stewardship in Lombardy: Access-Watch-Reserve Quoten bleiben unter WHO-Ziel</w:t>
      </w:r>
    </w:p>
    <w:p>
      <w:r>
        <w:rPr>
          <w:i/>
          <w:color w:val="666666"/>
          <w:sz w:val="18"/>
        </w:rPr>
        <w:t>Augello M et al.  ·  J Antimicrob Chemother  ·  01.09.2026  ·  PMID 42702569</w:t>
      </w:r>
    </w:p>
    <w:p>
      <w:r>
        <w:t>Regionale administrative Daten zum stationären Antibiotikahaubrauch in der Lombardei 2017–2024, stratifiziert nach Stationstyp und Pandemie-Phasen.</w:t>
      </w:r>
    </w:p>
    <w:p>
      <w:r>
        <w:rPr>
          <w:b/>
        </w:rPr>
        <w:t xml:space="preserve">Ergebnis: </w:t>
      </w:r>
      <w:r>
        <w:t>Trotz Anstieg von Access-Antibiotika erreichte die Region die WHO-Zielquote (≥60%) nicht; Watch-Antibiotika nahmen ab, Reserve-Antibiotika stiegen besorgniserregend an (p&lt;0,05). Systemische Lücke in der Antibiotikaauswahl als Versorgungsproblem.</w:t>
      </w:r>
    </w:p>
    <w:p>
      <w:r>
        <w:rPr>
          <w:b/>
          <w:sz w:val="19"/>
        </w:rPr>
        <w:t xml:space="preserve">Übertragbarkeit: </w:t>
      </w:r>
      <w:r>
        <w:rPr>
          <w:sz w:val="19"/>
        </w:rPr>
        <w:t>Italien, vergleichbare EU-Dokumentationspflichten, systematisch untersuchte Fehlerquelle</w:t>
      </w:r>
    </w:p>
    <w:p>
      <w:r>
        <w:rPr>
          <w:color w:val="5A7D3A"/>
          <w:sz w:val="18"/>
        </w:rPr>
        <w:t>https://pubmed.ncbi.nlm.nih.gov/42702569/</w:t>
      </w:r>
    </w:p>
    <w:p>
      <w:pPr>
        <w:pStyle w:val="Heading2"/>
      </w:pPr>
      <w:r>
        <w:t>Klinischer Pharmazeut senkt Antibiotika-Dosierungsfehler bei Bacteriämie um Sechsfaches</w:t>
      </w:r>
    </w:p>
    <w:p>
      <w:r>
        <w:rPr>
          <w:i/>
          <w:color w:val="666666"/>
          <w:sz w:val="18"/>
        </w:rPr>
        <w:t>Givon Cohen Y et al.  ·  Isr Med Assoc J  ·  Sept. 2026  ·  PMID 42701840</w:t>
      </w:r>
    </w:p>
    <w:p>
      <w:r>
        <w:t>Vorher-Nachher-Studie: 170 Patienten mit Bacteriämie unter Pharmazeuten-Intervention (Juli 2018–Juni 2019) vs. 173 Kontrollen; Outcome: Angemessenheit von Antibiotikaauswahl und Dosierung.</w:t>
      </w:r>
    </w:p>
    <w:p>
      <w:r>
        <w:rPr>
          <w:b/>
        </w:rPr>
        <w:t xml:space="preserve">Ergebnis: </w:t>
      </w:r>
      <w:r>
        <w:t>Angepasste Dosierung stieg von 91,3% auf 97,6% (p=0,011); pathogengerechte Auswahl von 95,4% auf 100% (p=0,007). Odds Ratio für angemessene Behandlung 5,00 (95%-KI 1,64–15,25). 7-Tage-Rezidiv sank von 8,7% auf 2,4% (p=0,010).</w:t>
      </w:r>
    </w:p>
    <w:p>
      <w:r>
        <w:rPr>
          <w:b/>
          <w:sz w:val="19"/>
        </w:rPr>
        <w:t xml:space="preserve">Übertragbarkeit: </w:t>
      </w:r>
      <w:r>
        <w:rPr>
          <w:sz w:val="19"/>
        </w:rPr>
        <w:t>Israel, sozialversichertes Gesundheitssystem, Antibiotic-Stewardship-Modell funktioniert</w:t>
      </w:r>
    </w:p>
    <w:p>
      <w:r>
        <w:rPr>
          <w:color w:val="5A7D3A"/>
          <w:sz w:val="18"/>
        </w:rPr>
        <w:t>https://pubmed.ncbi.nlm.nih.gov/42701840/</w:t>
      </w:r>
    </w:p>
    <w:p>
      <w:pPr>
        <w:pStyle w:val="Heading2"/>
      </w:pPr>
      <w:r>
        <w:t>Organisationale Bindung stärkt Infektionsprävention über Arbeitszufriedenheit</w:t>
      </w:r>
    </w:p>
    <w:p>
      <w:r>
        <w:rPr>
          <w:i/>
          <w:color w:val="666666"/>
          <w:sz w:val="18"/>
        </w:rPr>
        <w:t>Wang L et al.  ·  Front Public Health  ·  21.08.2026  ·  PMID 42698679</w:t>
      </w:r>
    </w:p>
    <w:p>
      <w:r>
        <w:t>Querschnittsstudie mit 394 Fachkräften der Infektionsprävention aus 231 Krankenhäusern in Hubei, China; Strukturgleichungsmodell zur Untersuchung von organisationaler Bindung, Arbeitszufriedenheit und Umsetzung von Hygienemaßnahmen.</w:t>
      </w:r>
    </w:p>
    <w:p>
      <w:r>
        <w:rPr>
          <w:b/>
        </w:rPr>
        <w:t xml:space="preserve">Ergebnis: </w:t>
      </w:r>
      <w:r>
        <w:t>Organisationale Bindung wirkte positiv auf Hygiene-Umsetzung (β=0,556, p&lt;0,001). Arbeitszufriedenheit mediierte die Assoziation (β=0,193, 95%-KI 0,094–0,295) und erklärte 25,78% der Gesamtwirkung. Strukturelle Faktoren sind modifizierbar.</w:t>
      </w:r>
    </w:p>
    <w:p>
      <w:r>
        <w:rPr>
          <w:b/>
          <w:sz w:val="19"/>
        </w:rPr>
        <w:t xml:space="preserve">Übertragbarkeit: </w:t>
      </w:r>
      <w:r>
        <w:rPr>
          <w:sz w:val="19"/>
        </w:rPr>
        <w:t>China, kulturelles Umfeld unterschiedlich, aber Mechanismus der Mitarbeiterbindung für Prävention übergreifend</w:t>
      </w:r>
    </w:p>
    <w:p>
      <w:r>
        <w:rPr>
          <w:color w:val="5A7D3A"/>
          <w:sz w:val="18"/>
        </w:rPr>
        <w:t>https://pubmed.ncbi.nlm.nih.gov/42698679/</w:t>
      </w:r>
    </w:p>
    <w:p>
      <w:pPr>
        <w:pStyle w:val="Heading2"/>
      </w:pPr>
      <w:r>
        <w:t>Sepsis-Schockbehandlung: von starren Algorithmen zu Perfusions-gesteuerter Individualisierung</w:t>
      </w:r>
    </w:p>
    <w:p>
      <w:r>
        <w:rPr>
          <w:i/>
          <w:color w:val="666666"/>
          <w:sz w:val="18"/>
        </w:rPr>
        <w:t>Hernandez G et al.  ·  Crit Care  ·  21.07.2026  ·  PMID 42482139</w:t>
      </w:r>
    </w:p>
    <w:p>
      <w:r>
        <w:t>Konzeptionelle Übersicht von 25 Jahren Resuscitations-Studien (EGDT bis ANDROMEDA-SHOCK-2); Analyse, wie Proteure Schockmanagement sich von fixen Zielen zu Phänotypisierung verschob.</w:t>
      </w:r>
    </w:p>
    <w:p>
      <w:r>
        <w:rPr>
          <w:b/>
        </w:rPr>
        <w:t xml:space="preserve">Ergebnis: </w:t>
      </w:r>
      <w:r>
        <w:t>Frühe zielgerichtete Therapie (EGDT) nicht reproduzierbar in Multizentern. ANDROMEDA-SHOCK zeigte Vorteil von Kapillarfüllungszeit; ANDROMEDA-SHOCK-2 integrierte Phänotypisierung, reversible Tests und serielle Neubewertung mit potenziellen Verbesserungen.</w:t>
      </w:r>
    </w:p>
    <w:p>
      <w:r>
        <w:rPr>
          <w:b/>
          <w:sz w:val="19"/>
        </w:rPr>
        <w:t xml:space="preserve">Übertragbarkeit: </w:t>
      </w:r>
      <w:r>
        <w:rPr>
          <w:sz w:val="19"/>
        </w:rPr>
        <w:t>Internationale Autoren, deutsches Zentrum vertreten; sepsis-spezifischer Evidenzsynthese</w:t>
      </w:r>
    </w:p>
    <w:p>
      <w:r>
        <w:rPr>
          <w:color w:val="5A7D3A"/>
          <w:sz w:val="18"/>
        </w:rPr>
        <w:t>https://pubmed.ncbi.nlm.nih.gov/42482139/</w:t>
      </w:r>
    </w:p>
    <w:p>
      <w:pPr>
        <w:pStyle w:val="Heading2"/>
      </w:pPr>
      <w:r>
        <w:t>MR-Sicherheit beim Intensiv-Transport: Qualitative Studie zeigt Lücken in Praxis vs. Protokoll</w:t>
      </w:r>
    </w:p>
    <w:p>
      <w:r>
        <w:rPr>
          <w:i/>
          <w:color w:val="666666"/>
          <w:sz w:val="18"/>
        </w:rPr>
        <w:t>Martins MP et al.  ·  Radiography (Lond)  ·  20.07.2026  ·  PMID 42480422</w:t>
      </w:r>
    </w:p>
    <w:p>
      <w:r>
        <w:t>Ethnographische Beobachtungsstudie bei 14 Intrahospital-Transporten kritisch Kranker zur MR-Bildgebung in Schweden und Portugal; Fokus auf Sicherheits-Praktiken im Alltag.</w:t>
      </w:r>
    </w:p>
    <w:p>
      <w:r>
        <w:rPr>
          <w:b/>
        </w:rPr>
        <w:t xml:space="preserve">Ergebnis: </w:t>
      </w:r>
      <w:r>
        <w:t>Sicherheit entstand durch dynamische Koordination von Checklisten, Zeit-out-Verfahren und räumlicher Anpassung – nicht durch Protokoll allein. Lücken entstanden bei unzureichender Kommunikation und unvollständiger Dokumentation zu Implantaten. Radiographen waren zentrale Koordinatoren.</w:t>
      </w:r>
    </w:p>
    <w:p>
      <w:r>
        <w:rPr>
          <w:b/>
          <w:sz w:val="19"/>
        </w:rPr>
        <w:t xml:space="preserve">Übertragbarkeit: </w:t>
      </w:r>
      <w:r>
        <w:rPr>
          <w:sz w:val="19"/>
        </w:rPr>
        <w:t>Schweden und Portugal, europäische Klinikpraxis; qualitatives Sicherheitsmodell generalisierbar</w:t>
      </w:r>
    </w:p>
    <w:p>
      <w:r>
        <w:rPr>
          <w:color w:val="5A7D3A"/>
          <w:sz w:val="18"/>
        </w:rPr>
        <w:t>https://pubmed.ncbi.nlm.nih.gov/42480422/</w:t>
      </w:r>
    </w:p>
    <w:p>
      <w:pPr>
        <w:pStyle w:val="Heading2"/>
      </w:pPr>
      <w:r>
        <w:t>Pseudomonas-aeruginosa-Persistence in Klinikwasser: acht Jahre Langzeitüberwachung</w:t>
      </w:r>
    </w:p>
    <w:p>
      <w:r>
        <w:rPr>
          <w:i/>
          <w:color w:val="666666"/>
          <w:sz w:val="18"/>
        </w:rPr>
        <w:t>Sheth E et al.  ·  J Hosp Infect  ·  21.07.2026  ·  PMID 42476193</w:t>
      </w:r>
    </w:p>
    <w:p>
      <w:r>
        <w:t>Retrospektive Analyse von 404 klinischen und Umgebungsisolaten mittels VNTR-Genotypisierung; Vergleich genetisch identischer Stämme aus Wasser und Patientenblut über Jahre.</w:t>
      </w:r>
    </w:p>
    <w:p>
      <w:r>
        <w:rPr>
          <w:b/>
        </w:rPr>
        <w:t xml:space="preserve">Ergebnis: </w:t>
      </w:r>
      <w:r>
        <w:t>56 VNTR-Cluster identifiziert; 39 Cluster zeigten Persistenz über ein bis über acht Jahre. Umgebungsisolate voraus: neun Cluster zeigten Wasser-zu-Patient-Transmission. Ein Cluster (n=20) über acht Jahre mit 17 Umgebungs-, ein invasives und zwei nicht-invasive Isolate.</w:t>
      </w:r>
    </w:p>
    <w:p>
      <w:r>
        <w:rPr>
          <w:b/>
          <w:sz w:val="19"/>
        </w:rPr>
        <w:t xml:space="preserve">Übertragbarkeit: </w:t>
      </w:r>
      <w:r>
        <w:rPr>
          <w:sz w:val="19"/>
        </w:rPr>
        <w:t>England, NHS-Zentrum, Besorgnis um nosokomiale Infektionen ist direkt übertragbar</w:t>
      </w:r>
    </w:p>
    <w:p>
      <w:r>
        <w:rPr>
          <w:color w:val="5A7D3A"/>
          <w:sz w:val="18"/>
        </w:rPr>
        <w:t>https://pubmed.ncbi.nlm.nih.gov/42476193/</w:t>
      </w:r>
    </w:p>
    <w:p>
      <w:pPr>
        <w:pStyle w:val="Heading1"/>
      </w:pPr>
      <w:r>
        <w:t>Aufgenommen am 06.09.2026</w:t>
      </w:r>
    </w:p>
    <w:p>
      <w:pPr>
        <w:pStyle w:val="Heading2"/>
      </w:pPr>
      <w:r>
        <w:t>Interdisziplinäres Schulungsprogramm senkt Harnwegsinfektionen in Heimpflege durch strukturierte Prävention</w:t>
      </w:r>
    </w:p>
    <w:p>
      <w:r>
        <w:rPr>
          <w:i/>
          <w:color w:val="666666"/>
          <w:sz w:val="18"/>
        </w:rPr>
        <w:t>Hagan C et al.  ·  Home Healthc Now  ·  04.09.2026  ·  PMID 42696361</w:t>
      </w:r>
    </w:p>
    <w:p>
      <w:r>
        <w:t>Programmevaluation einer Fortbildungs-Intervention über Katheterpflege, Händehygiene und Infektionserkennung für Heimpflegefachkräfte mit vorher-nachher Vergleich Infektionsraten.</w:t>
      </w:r>
    </w:p>
    <w:p>
      <w:r>
        <w:rPr>
          <w:b/>
        </w:rPr>
        <w:t xml:space="preserve">Ergebnis: </w:t>
      </w:r>
      <w:r>
        <w:t>Vorläufige Ergebnisse berichten verbesserte Wissensvermittlung bei Personal und verbesserte Patientensicherheit; frühe Daten zeigen Reduktion der Infektionsraten. Interdisziplinärer Ansatz über Pflege, Ergotherapie, Wund- und Stomatologie-Spezialisierungen erwies sich in Alltagsroutinen praktisch anwendbar.</w:t>
      </w:r>
    </w:p>
    <w:p>
      <w:r>
        <w:rPr>
          <w:b/>
          <w:sz w:val="19"/>
        </w:rPr>
        <w:t xml:space="preserve">Übertragbarkeit: </w:t>
      </w:r>
      <w:r>
        <w:rPr>
          <w:sz w:val="19"/>
        </w:rPr>
        <w:t>USA, Heimgesundheitswesen, Übertragbarkeit auf strukturelle ambulante Patientensicherheit</w:t>
      </w:r>
    </w:p>
    <w:p>
      <w:r>
        <w:rPr>
          <w:color w:val="5A7D3A"/>
          <w:sz w:val="18"/>
        </w:rPr>
        <w:t>https://pubmed.ncbi.nlm.nih.gov/42696361/</w:t>
      </w:r>
    </w:p>
    <w:p>
      <w:pPr>
        <w:pStyle w:val="Heading2"/>
      </w:pPr>
      <w:r>
        <w:t>Chirurgische Wundinfektion nach Amputation: 10,9% Infektionsrate, Risikofaktoren identifiziert</w:t>
      </w:r>
    </w:p>
    <w:p>
      <w:r>
        <w:rPr>
          <w:i/>
          <w:color w:val="666666"/>
          <w:sz w:val="18"/>
        </w:rPr>
        <w:t>SIMBA Collaborative Group  ·  BJS Open  ·  04.09.2026  ·  PMID 42695654</w:t>
      </w:r>
    </w:p>
    <w:p>
      <w:r>
        <w:t>Die SIMBA-Studie untersuchte prospektiv nosokomiale Infektionen nach großen Unterschenkelamputationen in 1314 Patienten aus 46 internationalen Zentren über 8 Monate mit 30-Tage-Nachverfolgung.</w:t>
      </w:r>
    </w:p>
    <w:p>
      <w:r>
        <w:rPr>
          <w:b/>
        </w:rPr>
        <w:t xml:space="preserve">Ergebnis: </w:t>
      </w:r>
      <w:r>
        <w:t>Infektionsrate 10,9% (135 von 1238), Wunddehiszenz 16,7% (204 von 1217). Unabhängige Risikofaktoren: niedrige glomeruläre Filtrationsrate, Herzerkrankung, verschmutzte/infizierte Wundklasse, Unterschenkelamputationen. Infektionen mit erhöhter Morbidität, Wunddehiszenz, Revisionsoperationen und verzögerter Entlassung assoziiert, aber nicht mit 30-Tage-Mortalität (7,0%).</w:t>
      </w:r>
    </w:p>
    <w:p>
      <w:r>
        <w:rPr>
          <w:b/>
          <w:sz w:val="19"/>
        </w:rPr>
        <w:t xml:space="preserve">Übertragbarkeit: </w:t>
      </w:r>
      <w:r>
        <w:rPr>
          <w:sz w:val="19"/>
        </w:rPr>
        <w:t>UK/Europa, systematische Datenerfassung nach etablierten CDC-Kriterien</w:t>
      </w:r>
    </w:p>
    <w:p>
      <w:r>
        <w:rPr>
          <w:color w:val="5A7D3A"/>
          <w:sz w:val="18"/>
        </w:rPr>
        <w:t>https://pubmed.ncbi.nlm.nih.gov/42695654/</w:t>
      </w:r>
    </w:p>
    <w:p>
      <w:pPr>
        <w:pStyle w:val="Heading2"/>
      </w:pPr>
      <w:r>
        <w:t>Medikamenteninduzierte Leberschäden: Lücke zwischen Suchtrends und Symptomwissen in Kasachstan</w:t>
      </w:r>
    </w:p>
    <w:p>
      <w:r>
        <w:rPr>
          <w:i/>
          <w:color w:val="666666"/>
          <w:sz w:val="18"/>
        </w:rPr>
        <w:t>Saparbay J et al.  ·  Int J Environ Res Public Health  ·  14.08.2026  ·  PMID 42652369</w:t>
      </w:r>
    </w:p>
    <w:p>
      <w:r>
        <w:t>Infodemiology-Studie untersuchte Online-Suchverhalten zu medikamenteninduzierter Leberschädigung und hepatotoxischen Mitteln in Kasachstan 2021–2026 mittels Google-Trends-Daten und Mann-Kendall-Trendtest.</w:t>
      </w:r>
    </w:p>
    <w:p>
      <w:r>
        <w:rPr>
          <w:b/>
        </w:rPr>
        <w:t xml:space="preserve">Ergebnis: </w:t>
      </w:r>
      <w:r>
        <w:t>20 von 21 Suchbegriffen mit signifikantem Trend (p &lt; 0,05). Diätetische Supplemente zeigten stärksten Anstiegstrend (S = +1.275, Z = +7,93, p &lt; 0,001). Allgemeiner Begriff ‚Leber' höchste Suchaktivität (mittlere RSV 84,30), spezifische DILI-Symptome (dunkler Urin, Hautjucken) minimal (1,28; 0,07). Starke positive Korrelation Paracetamol-Antibiotika-Suchen (rs = 0,812, p &lt; 0,001) zeigt Selbstmedikationsmuster.</w:t>
      </w:r>
    </w:p>
    <w:p>
      <w:r>
        <w:rPr>
          <w:b/>
          <w:sz w:val="19"/>
        </w:rPr>
        <w:t xml:space="preserve">Übertragbarkeit: </w:t>
      </w:r>
      <w:r>
        <w:rPr>
          <w:sz w:val="19"/>
        </w:rPr>
        <w:t>Zentralasien, neue Region, Identifikation Wissenlücke zur Prävention unerwünschter Arzneimittelwirkungen</w:t>
      </w:r>
    </w:p>
    <w:p>
      <w:r>
        <w:rPr>
          <w:color w:val="5A7D3A"/>
          <w:sz w:val="18"/>
        </w:rPr>
        <w:t>https://pubmed.ncbi.nlm.nih.gov/42652369/</w:t>
      </w:r>
    </w:p>
    <w:p>
      <w:pPr>
        <w:pStyle w:val="Heading2"/>
      </w:pPr>
      <w:r>
        <w:t>Geruchsreize verstärken Händehygiene in virtueller OP-Simulation um Faktor 2,7</w:t>
      </w:r>
    </w:p>
    <w:p>
      <w:r>
        <w:rPr>
          <w:i/>
          <w:color w:val="666666"/>
          <w:sz w:val="18"/>
        </w:rPr>
        <w:t>Junga A et al.  ·  JMIR Med Educ  ·  19.08.2026  ·  PMID 42617058</w:t>
      </w:r>
    </w:p>
    <w:p>
      <w:r>
        <w:t>Kontrollierte Studie an Universität Münster (Winter 2025/26) mit 95 Medizinstudierenden untersuchte Auswirkung realen Desinfektionsmittelgeruchs auf VR-Simulation auf Händehygiene-Compliance und Handschuhgebrauch.</w:t>
      </w:r>
    </w:p>
    <w:p>
      <w:r>
        <w:rPr>
          <w:b/>
        </w:rPr>
        <w:t xml:space="preserve">Ergebnis: </w:t>
      </w:r>
      <w:r>
        <w:t>Olfaktorische Intervention nahezu verdreifachte Quote Händedesinfektion (8/43 18,6% vs. 20/52 38,5%; absolute Risikodifferenz 19,9 Prozentpunkte; OR=2,73, 95%-KI 1,09–7,40; p=0,04; NNT=5). Kein signifikanter Unterschied Handschuhgebrauch (OR=1,44, 95%-KI 0,62–3,45; p=0,40).</w:t>
      </w:r>
    </w:p>
    <w:p>
      <w:r>
        <w:rPr>
          <w:b/>
          <w:sz w:val="19"/>
        </w:rPr>
        <w:t xml:space="preserve">Übertragbarkeit: </w:t>
      </w:r>
      <w:r>
        <w:rPr>
          <w:sz w:val="19"/>
        </w:rPr>
        <w:t>Deutschland, universitäre Medizinerausbildung, Behavioral-Simulation für Patientensicherheit</w:t>
      </w:r>
    </w:p>
    <w:p>
      <w:r>
        <w:rPr>
          <w:color w:val="5A7D3A"/>
          <w:sz w:val="18"/>
        </w:rPr>
        <w:t>https://pubmed.ncbi.nlm.nih.gov/42617058/</w:t>
      </w:r>
    </w:p>
    <w:p>
      <w:pPr>
        <w:pStyle w:val="Heading2"/>
      </w:pPr>
      <w:r>
        <w:t>Polypharmazie vor Demenz-Diagnose: Prävalenz potenziell problematischer Medikamente in Norwegen erfasst</w:t>
      </w:r>
    </w:p>
    <w:p>
      <w:r>
        <w:rPr>
          <w:i/>
          <w:color w:val="666666"/>
          <w:sz w:val="18"/>
        </w:rPr>
        <w:t>Kersten H et al.  ·  PLoS One  ·  18.08.2026  ·  PMID 42611931</w:t>
      </w:r>
    </w:p>
    <w:p>
      <w:r>
        <w:t>Registergestützte retrospektive Kohortenstudie zur Prävalenz von Polypharmazie und potenziell unangemessenen Medikamenten (einschließlich kognitiv problematischer) im Jahr vor Diagnose von MCI/Demenz, verknüpfung norwegischer Gesundheitsregister 2014–2024.</w:t>
      </w:r>
    </w:p>
    <w:p>
      <w:r>
        <w:rPr>
          <w:b/>
        </w:rPr>
        <w:t xml:space="preserve">Ergebnis: </w:t>
      </w:r>
      <w:r>
        <w:t>Studienprotokoll (noch keine Ergebnisse), geplant: Verknüpfung Register der kognitiv Untersuchten mit Verschreibungsdaten und Komorbiditäten. Ziel: Prävalenz Polypharmazie und problematischer Medikamente bei diagnostizierter MCI/Demenz beschreiben, deprescribing-Interventionen informieren.</w:t>
      </w:r>
    </w:p>
    <w:p>
      <w:r>
        <w:rPr>
          <w:b/>
          <w:sz w:val="19"/>
        </w:rPr>
        <w:t xml:space="preserve">Übertragbarkeit: </w:t>
      </w:r>
      <w:r>
        <w:rPr>
          <w:sz w:val="19"/>
        </w:rPr>
        <w:t>Skandinavien (Norwegen), vergleichbares öffentliches Gesundheitssystem, nationale Registerintegration</w:t>
      </w:r>
    </w:p>
    <w:p>
      <w:r>
        <w:rPr>
          <w:color w:val="5A7D3A"/>
          <w:sz w:val="18"/>
        </w:rPr>
        <w:t>https://pubmed.ncbi.nlm.nih.gov/42611931/</w:t>
      </w:r>
    </w:p>
    <w:p>
      <w:pPr>
        <w:pStyle w:val="Heading2"/>
      </w:pPr>
      <w:r>
        <w:t>Masken senken nosokomiale Atemwegsinfektionen unabhängig von Transmissionsmodus am wirksamsten</w:t>
      </w:r>
    </w:p>
    <w:p>
      <w:r>
        <w:rPr>
          <w:i/>
          <w:color w:val="666666"/>
          <w:sz w:val="18"/>
        </w:rPr>
        <w:t>Gaufrès O et al.  ·  PLoS Comput Biol  ·  03.08.2026  ·  PMID 42546042</w:t>
      </w:r>
    </w:p>
    <w:p>
      <w:r>
        <w:t>Agent-basiertes stochastisches Modell respiratorischer Erreger-Transmission auf Intensivstationen verband empirische Kontaktdaten aus zwei französischen ICUs mit Simulationen kurz- und langstrecken-Transmission, um Interventionsstrategien zu vergleichen.</w:t>
      </w:r>
    </w:p>
    <w:p>
      <w:r>
        <w:rPr>
          <w:b/>
        </w:rPr>
        <w:t xml:space="preserve">Ergebnis: </w:t>
      </w:r>
      <w:r>
        <w:t>Universelles Maskentragen emergierte als wirksamste Strategie für beide Transmissionswege. Mit Lüftung in patientenzugänglichen Räumen konnten Masken mit begrenztem Wirkungsverlust reduziert werden. Interventionen für Beschäftigte (z. B. Lüftung nicht für Patienten zugänglich) senken indirekt Inzidenz bei Patienten stärker, wenn kombiniert mit gelockerten Maskenmaßnahmen.</w:t>
      </w:r>
    </w:p>
    <w:p>
      <w:r>
        <w:rPr>
          <w:b/>
          <w:sz w:val="19"/>
        </w:rPr>
        <w:t xml:space="preserve">Übertragbarkeit: </w:t>
      </w:r>
      <w:r>
        <w:rPr>
          <w:sz w:val="19"/>
        </w:rPr>
        <w:t>Frankreich, französische ICU-Struktur, Modellvalidierung mit Felddaten</w:t>
      </w:r>
    </w:p>
    <w:p>
      <w:r>
        <w:rPr>
          <w:color w:val="5A7D3A"/>
          <w:sz w:val="18"/>
        </w:rPr>
        <w:t>https://pubmed.ncbi.nlm.nih.gov/42546042/</w:t>
      </w:r>
    </w:p>
    <w:p>
      <w:pPr>
        <w:pStyle w:val="Heading2"/>
      </w:pPr>
      <w:r>
        <w:t>Piperacillin-Tazobactam-Resistenz und Mortalität: keine signifikante Assoziation nach Risikoanpassung</w:t>
      </w:r>
    </w:p>
    <w:p>
      <w:r>
        <w:rPr>
          <w:i/>
          <w:color w:val="666666"/>
          <w:sz w:val="18"/>
        </w:rPr>
        <w:t>Tusch E et al.  ·  JAMA Netw Open  ·  01.07.2026  ·  PMID 42485042</w:t>
      </w:r>
    </w:p>
    <w:p>
      <w:r>
        <w:t>Dänische nationale Registeranalyse von 34.379 Patienten mit E. coli oder K. pneumoniae Bacteriämie, Vergleich TZP-resistent vs. -empfindlich für 30-Tage-Mortalität.</w:t>
      </w:r>
    </w:p>
    <w:p>
      <w:r>
        <w:rPr>
          <w:b/>
        </w:rPr>
        <w:t xml:space="preserve">Ergebnis: </w:t>
      </w:r>
      <w:r>
        <w:t>E. coli: 5,9% TZP-resistent (1689/28.649), K. pneumoniae: 9,5% TZP-resistent (597/6314). Rohe HR E. coli 1,22 (95%-KI 1,08–1,38), K. pneumoniae 1,27 (95%-KI 1,05–1,52). Nach Anpassung auf Baseline-Risikofaktoren kein signifikanter Unterschied: E. coli aHR 1,09 (95%-KI 0,94–1,27), K. pneumoniae aHR 1,15 (95%-KI 0,94–1,41).</w:t>
      </w:r>
    </w:p>
    <w:p>
      <w:r>
        <w:rPr>
          <w:b/>
          <w:sz w:val="19"/>
        </w:rPr>
        <w:t xml:space="preserve">Übertragbarkeit: </w:t>
      </w:r>
      <w:r>
        <w:rPr>
          <w:sz w:val="19"/>
        </w:rPr>
        <w:t>Skandinavien (Dänemark), vergleichbares öffentliches Gesundheitssystem, nationale Vollzählung</w:t>
      </w:r>
    </w:p>
    <w:p>
      <w:r>
        <w:rPr>
          <w:color w:val="5A7D3A"/>
          <w:sz w:val="18"/>
        </w:rPr>
        <w:t>https://pubmed.ncbi.nlm.nih.gov/42485042/</w:t>
      </w:r>
    </w:p>
    <w:p>
      <w:pPr>
        <w:pStyle w:val="Heading1"/>
      </w:pPr>
      <w:r>
        <w:t>Aufgenommen am 05.09.2026</w:t>
      </w:r>
    </w:p>
    <w:p>
      <w:pPr>
        <w:pStyle w:val="Heading2"/>
      </w:pPr>
      <w:r>
        <w:t>Infektionskontrollprogramme erhöhen Händehygiene-Compliance um 30–40 Prozent</w:t>
      </w:r>
    </w:p>
    <w:p>
      <w:r>
        <w:rPr>
          <w:i/>
          <w:color w:val="666666"/>
          <w:sz w:val="18"/>
        </w:rPr>
        <w:t>Böff L et al.  ·  BMJ Open  ·  04.09.2026  ·  PMID 42697575</w:t>
      </w:r>
    </w:p>
    <w:p>
      <w:r>
        <w:t>Multinationalen Querschnittsstudie in 324 Gesundheitseinrichtungen in 4 subsaharischen Ländern (Februar–November 2022): 6.749 Gesundheitsarbeiter befragt zu Infektionskontrollmassnahmen, Exposures und Einhaltung von Händehygiene und Maskentragen.</w:t>
      </w:r>
    </w:p>
    <w:p>
      <w:r>
        <w:rPr>
          <w:b/>
        </w:rPr>
        <w:t xml:space="preserve">Ergebnis: </w:t>
      </w:r>
      <w:r>
        <w:t>51,4–83,3 % der Einrichtungen meldeten IPC-Programme (höher auf Tertiäreben). Nur 19,8 % hatten Handdesinfektionsmittel in jedem Zimmer. Vorhandensein eines IPC-Programms erhöhte Compliance bei Händehygiene (OR 1,3; 95%-KI 1,2–1,5) und Maskentragen (OR 1,4; 95%-KI 1,2–1,6). IPC-Training erhöhte Händehygiene-Compliance (OR 1,5; 95%-KI 1,3–1,7). Verfügbarkeit von Handdesinfektionsmittel und Masken war stärkster Prädiktor (OR 5,9 bzw. 2,3).</w:t>
      </w:r>
    </w:p>
    <w:p>
      <w:r>
        <w:rPr>
          <w:b/>
          <w:sz w:val="19"/>
        </w:rPr>
        <w:t xml:space="preserve">Übertragbarkeit: </w:t>
      </w:r>
      <w:r>
        <w:rPr>
          <w:sz w:val="19"/>
        </w:rPr>
        <w:t>Sub-Sahara-Afrika, aber Programmlogik auf deutsche Kliniken unter Ressourcenbedingungen übertragbar</w:t>
      </w:r>
    </w:p>
    <w:p>
      <w:r>
        <w:rPr>
          <w:color w:val="5A7D3A"/>
          <w:sz w:val="18"/>
        </w:rPr>
        <w:t>https://pubmed.ncbi.nlm.nih.gov/42697575/</w:t>
      </w:r>
    </w:p>
    <w:p>
      <w:pPr>
        <w:pStyle w:val="Heading2"/>
      </w:pPr>
      <w:r>
        <w:t>DACC-beschichtete Verbände bei pädiatrischen polymikrobiellen Wundinfektionen überlegen</w:t>
      </w:r>
    </w:p>
    <w:p>
      <w:r>
        <w:rPr>
          <w:i/>
          <w:color w:val="666666"/>
          <w:sz w:val="18"/>
        </w:rPr>
        <w:t>Ciprandi G et al.  ·  J Wound Care  ·  02.09.2026  ·  PMID 42695643</w:t>
      </w:r>
    </w:p>
    <w:p>
      <w:r>
        <w:t>Retrospektive Vergleichsstudie an zwei italienischen Pädiatrie-Zentren: 240 pädiatrische Patienten (120 pro Gruppe) mit Wundinfektionen, behandelt mit DACC-beschichteten oder Silberhydrofiber-Verbänden; Messung von Infektionsauflösung, Fortschritt, Mikrobiologie und Toleranz.</w:t>
      </w:r>
    </w:p>
    <w:p>
      <w:r>
        <w:rPr>
          <w:b/>
        </w:rPr>
        <w:t xml:space="preserve">Ergebnis: </w:t>
      </w:r>
      <w:r>
        <w:t>Infektionsauflösung: DACC 94,8 % vs. Silberhydrofiber 79,0 % (p=0,05). Keine Progression/Verschlechterung: DACC 4,2 % vs. 13,5 % (p=0,03) bzw. 2,5 % vs. 7,5 % (p=0,005). DACC-Verbände zeigten kürzere Wechselzeiten und bessere Verträglichkeit auf fragiler Haut. Häufig WHO-Prioritätserreger in Kulturen.</w:t>
      </w:r>
    </w:p>
    <w:p>
      <w:r>
        <w:rPr>
          <w:b/>
          <w:sz w:val="19"/>
        </w:rPr>
        <w:t xml:space="preserve">Übertragbarkeit: </w:t>
      </w:r>
      <w:r>
        <w:rPr>
          <w:sz w:val="19"/>
        </w:rPr>
        <w:t>Italien, deutschsprachiger Pädiatrie-Standard vergleichbar</w:t>
      </w:r>
    </w:p>
    <w:p>
      <w:r>
        <w:rPr>
          <w:color w:val="5A7D3A"/>
          <w:sz w:val="18"/>
        </w:rPr>
        <w:t>https://pubmed.ncbi.nlm.nih.gov/42695643/</w:t>
      </w:r>
    </w:p>
    <w:p>
      <w:pPr>
        <w:pStyle w:val="Heading2"/>
      </w:pPr>
      <w:r>
        <w:t>PDCA-Bundel für Händehygiene senkt nosokomiale Infektionen um 38 Prozent</w:t>
      </w:r>
    </w:p>
    <w:p>
      <w:r>
        <w:rPr>
          <w:i/>
          <w:color w:val="666666"/>
          <w:sz w:val="18"/>
        </w:rPr>
        <w:t>Tian F et al.  ·  J Vis Exp  ·  03.09.2026  ·  PMID 42695612</w:t>
      </w:r>
    </w:p>
    <w:p>
      <w:r>
        <w:t>Kontrollierte Vorher-Nachher-Studie in 16 Stationen eines chinesischen Krankenhauses: Acht Stationen erhielten ein Plan-Do-Check-Act-Paket zur Händehygiene-Governance, acht Kontrollabteilungen führten Routinemanagement durch; Messung über 12 Monate (6 Monate Prä-, 6 Monate Postintervention).</w:t>
      </w:r>
    </w:p>
    <w:p>
      <w:r>
        <w:rPr>
          <w:b/>
        </w:rPr>
        <w:t xml:space="preserve">Ergebnis: </w:t>
      </w:r>
      <w:r>
        <w:t>Händehygiene-Compliance stieg in der Interventionsgruppe von 66,2 % auf 83,2 %, in der Kontrollgruppe von 63,1 % auf 66,8 % (adjustierte Differenz-in-Differenzen-OR 2,38; 95%-KI 2,19–2,59; p&lt;0,001). Nosokomiale Infektionen sanken von 7,07 auf 4,37 pro 1.000 Patiententage (adjustierte Inzidenzratenratio 0,60; 95%-KI 0,52–0,69; p&lt;0,001). Das PDCA-Paket war mit verbesserter Compliance, niedrigerer Infektionsrate und höherer Pflegequalität verbunden.</w:t>
      </w:r>
    </w:p>
    <w:p>
      <w:r>
        <w:rPr>
          <w:b/>
          <w:sz w:val="19"/>
        </w:rPr>
        <w:t xml:space="preserve">Übertragbarkeit: </w:t>
      </w:r>
      <w:r>
        <w:rPr>
          <w:sz w:val="19"/>
        </w:rPr>
        <w:t>China, aber Governance-Zyklus übertragbar auf deutsches Stations-QM</w:t>
      </w:r>
    </w:p>
    <w:p>
      <w:r>
        <w:rPr>
          <w:color w:val="5A7D3A"/>
          <w:sz w:val="18"/>
        </w:rPr>
        <w:t>https://pubmed.ncbi.nlm.nih.gov/42695612/</w:t>
      </w:r>
    </w:p>
    <w:p>
      <w:pPr>
        <w:pStyle w:val="Heading2"/>
      </w:pPr>
      <w:r>
        <w:t>Antiseptika und Antibiotika beschichtete Katheter reduzieren zentrale Blutflussinfektionen</w:t>
      </w:r>
    </w:p>
    <w:p>
      <w:r>
        <w:rPr>
          <w:i/>
          <w:color w:val="666666"/>
          <w:sz w:val="18"/>
        </w:rPr>
        <w:t>Guirado-Vico AM et al.  ·  J Infus Nurs  ·  25.08.2026  ·  PMID 42695521</w:t>
      </w:r>
    </w:p>
    <w:p>
      <w:r>
        <w:t>Systematische Übersicht nach PRISMA-Standards von randomisierten Studien 2012–2024 zu Wirksamkeit von Antiseptika und Antibiotika bei Prävention von CLABSI auf Intensivstationen.</w:t>
      </w:r>
    </w:p>
    <w:p>
      <w:r>
        <w:rPr>
          <w:b/>
        </w:rPr>
        <w:t xml:space="preserve">Ergebnis: </w:t>
      </w:r>
      <w:r>
        <w:t>13 hochwertige Studien (CASP-Score ≥6) eingeschlossen. Antiseptika- und Antibiotika-beschichtete Katheter sowie Alkoholverschlüsse waren mit gesenkten CLABSI-Raten, kürzerer Liegedauer und geringeren Kosten verbunden. Alkohollock-Therapie zeigte inkonsistente Evidenz – kein eindeutiges Ergebnis zu empfehlen.</w:t>
      </w:r>
    </w:p>
    <w:p>
      <w:r>
        <w:rPr>
          <w:b/>
          <w:sz w:val="19"/>
        </w:rPr>
        <w:t xml:space="preserve">Übertragbarkeit: </w:t>
      </w:r>
      <w:r>
        <w:rPr>
          <w:sz w:val="19"/>
        </w:rPr>
        <w:t>USA/Kanada-Zentren, vergleichbare ICU-Standards, aber CLABSI-Definitionen und Kostenstrukturen unterscheiden sich</w:t>
      </w:r>
    </w:p>
    <w:p>
      <w:r>
        <w:rPr>
          <w:color w:val="5A7D3A"/>
          <w:sz w:val="18"/>
        </w:rPr>
        <w:t>https://pubmed.ncbi.nlm.nih.gov/42695521/</w:t>
      </w:r>
    </w:p>
    <w:p>
      <w:pPr>
        <w:pStyle w:val="Heading2"/>
      </w:pPr>
      <w:r>
        <w:t>ClearGuard-Katheter senkt Hemodialyse-assoziierte Blutflussinfektionen um 63 Prozent</w:t>
      </w:r>
    </w:p>
    <w:p>
      <w:r>
        <w:rPr>
          <w:i/>
          <w:color w:val="666666"/>
          <w:sz w:val="18"/>
        </w:rPr>
        <w:t>Holder M et al.  ·  J Infus Nurs  ·  25.08.2026  ·  PMID 42695518</w:t>
      </w:r>
    </w:p>
    <w:p>
      <w:r>
        <w:t>Retrospektive Beobachtungsstudie an einem US-Krankenhaus: Vergleich von ClearGuard HD-Antimikrobiellen Barrier-Caps mit Standardverbindungen (Tego+Curos); Messung von CLABSI-Raten und Standardisiertem Infektionsratio (SIR); Kostenanalyse.</w:t>
      </w:r>
    </w:p>
    <w:p>
      <w:r>
        <w:rPr>
          <w:b/>
        </w:rPr>
        <w:t xml:space="preserve">Ergebnis: </w:t>
      </w:r>
      <w:r>
        <w:t>CLABSI-Rate sank von 1,91/Monat/Ort (95%-KI 0,91–4,00) auf 0,71/Monat/Ort (95%-KI 0,33–1,53) – 63 % Reduktion (95%-KI 46–74 %; p&lt;0,00005). SIR sank von 0,721 auf 0,310 (57 % Reduktion). Geschätzter jährlicher Kostensparnis: 1,6 Millionen Dollar. Klinisch signifikante Senkung ohne aufgearbeitete Nebenwirkungen.</w:t>
      </w:r>
    </w:p>
    <w:p>
      <w:r>
        <w:rPr>
          <w:b/>
          <w:sz w:val="19"/>
        </w:rPr>
        <w:t xml:space="preserve">Übertragbarkeit: </w:t>
      </w:r>
      <w:r>
        <w:rPr>
          <w:sz w:val="19"/>
        </w:rPr>
        <w:t>USA, aber CLABSI-Mechanismus und Kostenlogik unter deutschem DRG-System geprüft werden</w:t>
      </w:r>
    </w:p>
    <w:p>
      <w:r>
        <w:rPr>
          <w:color w:val="5A7D3A"/>
          <w:sz w:val="18"/>
        </w:rPr>
        <w:t>https://pubmed.ncbi.nlm.nih.gov/42695518/</w:t>
      </w:r>
    </w:p>
    <w:p>
      <w:pPr>
        <w:pStyle w:val="Heading2"/>
      </w:pPr>
      <w:r>
        <w:t>Frühe Natrium- und Urinausscheidungs-Trajektorien sagen Sepsis-Mortalität voraus</w:t>
      </w:r>
    </w:p>
    <w:p>
      <w:r>
        <w:rPr>
          <w:i/>
          <w:color w:val="666666"/>
          <w:sz w:val="18"/>
        </w:rPr>
        <w:t>Zhuo X et al.  ·  J Glob Health  ·  04.09.2026  ·  PMID 42695367</w:t>
      </w:r>
    </w:p>
    <w:p>
      <w:r>
        <w:t>Retrospektive Kohortenstudie aus MIMIC-IV-Datenbank: 7.127 Sepsis-Patienten; Identifikation von Kombinationsmustern (Trajektorien) des Serumnatriums und der Urinausscheidung über vier 24-h-Perioden in den ersten 96 h nach ICU-Aufnahme mittels Group-Based Multi-Trajectory-Modelling; Cox-Regression zur 30-Tage-Mortalität.</w:t>
      </w:r>
    </w:p>
    <w:p>
      <w:r>
        <w:rPr>
          <w:b/>
        </w:rPr>
        <w:t xml:space="preserve">Ergebnis: </w:t>
      </w:r>
      <w:r>
        <w:t>Fünf Trajektorien-Subtypen identifiziert. Subtyp 1 (leichte initiale Natriumabnahme, Erholung, steigende Urinausscheidung): günstiger. Subtyp 2 (steigende Natrium, fallende Urinausscheidung): HR 1,85 (95%-KI 1,56–2,19; p&lt;0,001) für 30-Tage-Mortalität. Subtypen 4 und 5 auch erhöhtes Risiko (HR 1,31 bzw. 1,53). Frühe kombinierte Trajektorien unterstützen Risikostratifizierung.</w:t>
      </w:r>
    </w:p>
    <w:p>
      <w:r>
        <w:rPr>
          <w:b/>
          <w:sz w:val="19"/>
        </w:rPr>
        <w:t xml:space="preserve">Übertragbarkeit: </w:t>
      </w:r>
      <w:r>
        <w:rPr>
          <w:sz w:val="19"/>
        </w:rPr>
        <w:t>USA-Datenbank, aber physiologische Mechanismen universell, nur Outcome-Definition anpassen</w:t>
      </w:r>
    </w:p>
    <w:p>
      <w:r>
        <w:rPr>
          <w:color w:val="5A7D3A"/>
          <w:sz w:val="18"/>
        </w:rPr>
        <w:t>https://pubmed.ncbi.nlm.nih.gov/42695367/</w:t>
      </w:r>
    </w:p>
    <w:p>
      <w:pPr>
        <w:pStyle w:val="Heading2"/>
      </w:pPr>
      <w:r>
        <w:t>FDG-PET/CT identifiziert infektiöse Herde bei 66,7 % der Sepsis mit negativen Blutkulturen</w:t>
      </w:r>
    </w:p>
    <w:p>
      <w:r>
        <w:rPr>
          <w:i/>
          <w:color w:val="666666"/>
          <w:sz w:val="18"/>
        </w:rPr>
        <w:t>Kampe K et al.  ·  Crit Care Explor  ·  01.09.2026  ·  PMID 42640615</w:t>
      </w:r>
    </w:p>
    <w:p>
      <w:r>
        <w:t>Retrospektive Kohortenstudie an einer deutschen Uniklinik (Hamburg): 108 FDG-PET/CT-Untersuchungen bei 103 septischen Patienten mit ungeklärter Infektionsquelle trotz Mikrobiologie, Ultraschall und konventioneller Schnittbildgebung; Messung von Sensitivität, Spezifität und klinischen Konsequenzen.</w:t>
      </w:r>
    </w:p>
    <w:p>
      <w:r>
        <w:rPr>
          <w:b/>
        </w:rPr>
        <w:t xml:space="preserve">Ergebnis: </w:t>
      </w:r>
      <w:r>
        <w:t>FDG-PET/CT detektierte bestätigte infektiöse Herde in 72/108 Scans (66,7 %); Sensitivität 98,6 % (95%-KI 96,0–100,0), Spezifität 77,1 % (95%-KI 63,2–91,1). 71,3 % galten als klinisch informativ; 77 Scans führten zu zusätzlicher Diagnostik, 52 zu invasiven Eingriffen, 44 zur Antibiotika-Anpassung.</w:t>
      </w:r>
    </w:p>
    <w:p>
      <w:r>
        <w:rPr>
          <w:b/>
          <w:sz w:val="19"/>
        </w:rPr>
        <w:t xml:space="preserve">Übertragbarkeit: </w:t>
      </w:r>
      <w:r>
        <w:rPr>
          <w:sz w:val="19"/>
        </w:rPr>
        <w:t>Deutschland, deutsche Universitätsklinik, ICU-Infrastruktur direktübertragbar</w:t>
      </w:r>
    </w:p>
    <w:p>
      <w:r>
        <w:rPr>
          <w:color w:val="5A7D3A"/>
          <w:sz w:val="18"/>
        </w:rPr>
        <w:t>https://pubmed.ncbi.nlm.nih.gov/42640615/</w:t>
      </w:r>
    </w:p>
    <w:p>
      <w:pPr>
        <w:pStyle w:val="Heading1"/>
      </w:pPr>
      <w:r>
        <w:t>Aufgenommen am 04.09.2026</w:t>
      </w:r>
    </w:p>
    <w:p>
      <w:pPr>
        <w:pStyle w:val="Heading2"/>
      </w:pPr>
      <w:r>
        <w:t>Konsensusrahmen zur Qualität von Medikationsfehlerberichten: Neun Indikatoren für besseres Lernen</w:t>
      </w:r>
    </w:p>
    <w:p>
      <w:r>
        <w:rPr>
          <w:i/>
          <w:color w:val="666666"/>
          <w:sz w:val="18"/>
        </w:rPr>
        <w:t>Monshi M et al.  ·  BMJ Open  ·  02.09.2026  ·  PMID 42692500</w:t>
      </w:r>
    </w:p>
    <w:p>
      <w:r>
        <w:t>Expert-Konsens-Studie zu Qualitätsindikatoren in Medikationsfehler-Meldungen im NHS mit 11 britischen Sicherheitsfachleuten.</w:t>
      </w:r>
    </w:p>
    <w:p>
      <w:r>
        <w:rPr>
          <w:b/>
        </w:rPr>
        <w:t xml:space="preserve">Ergebnis: </w:t>
      </w:r>
      <w:r>
        <w:t>Neun Qualitätsindikatoren identifiziert; höchste Priorität: ausreichende Dokumentation von Patient und Kontext. Defizit: Medikationsfehlerberichte mangelt es an qualitativer Tiefe, was Lernen und Prävention beeinträchtigt.</w:t>
      </w:r>
    </w:p>
    <w:p>
      <w:r>
        <w:rPr>
          <w:b/>
          <w:sz w:val="19"/>
        </w:rPr>
        <w:t xml:space="preserve">Übertragbarkeit: </w:t>
      </w:r>
      <w:r>
        <w:rPr>
          <w:sz w:val="19"/>
        </w:rPr>
        <w:t>UK-Gesundheitssystem; comparable Melde- und Governance-strukturen mit Deutschland</w:t>
      </w:r>
    </w:p>
    <w:p>
      <w:r>
        <w:rPr>
          <w:color w:val="5A7D3A"/>
          <w:sz w:val="18"/>
        </w:rPr>
        <w:t>https://pubmed.ncbi.nlm.nih.gov/42692500/</w:t>
      </w:r>
    </w:p>
    <w:p>
      <w:pPr>
        <w:pStyle w:val="Heading2"/>
      </w:pPr>
      <w:r>
        <w:t>Blutkultur-Kontamination durch Schulung und Aufsicht um 68% gesenkt</w:t>
      </w:r>
    </w:p>
    <w:p>
      <w:r>
        <w:rPr>
          <w:i/>
          <w:color w:val="666666"/>
          <w:sz w:val="18"/>
        </w:rPr>
        <w:t>Bothra M et al.  ·  Natl Med J India  ·  Sept. 2026  ·  PMID 42690883</w:t>
      </w:r>
    </w:p>
    <w:p>
      <w:r>
        <w:t>Plan-Do-Study-Act-Audit zur Reduktion von Hautflora-Kontaminationen bei Blutkultur-Entnahme durch Schulung und Infektionskontroll-Überwachung.</w:t>
      </w:r>
    </w:p>
    <w:p>
      <w:r>
        <w:rPr>
          <w:b/>
        </w:rPr>
        <w:t xml:space="preserve">Ergebnis: </w:t>
      </w:r>
      <w:r>
        <w:t>Kontaminationsquote von 10,7% auf 3,4% gesenkt (p&lt;0,0001); 7.329 Blutkulturen untersucht (5.700 post-intervention). Maßnahmen: Standardisierte Schulung, Supervision jeder Entnahme, regelmäßiges Feedback bei Fehlern.</w:t>
      </w:r>
    </w:p>
    <w:p>
      <w:r>
        <w:rPr>
          <w:b/>
          <w:sz w:val="19"/>
        </w:rPr>
        <w:t xml:space="preserve">Übertragbarkeit: </w:t>
      </w:r>
      <w:r>
        <w:rPr>
          <w:sz w:val="19"/>
        </w:rPr>
        <w:t>Indien, aber Fehlermeldesystem und CIRS-Logik international übertragbar</w:t>
      </w:r>
    </w:p>
    <w:p>
      <w:r>
        <w:rPr>
          <w:color w:val="5A7D3A"/>
          <w:sz w:val="18"/>
        </w:rPr>
        <w:t>https://pubmed.ncbi.nlm.nih.gov/42690883/</w:t>
      </w:r>
    </w:p>
    <w:p>
      <w:pPr>
        <w:pStyle w:val="Heading2"/>
      </w:pPr>
      <w:r>
        <w:t>Rauchen, externe Fixation und OP-Dauer erhöhen Wundinfektionsrisiko nach Sprunggelenksosteosynthese</w:t>
      </w:r>
    </w:p>
    <w:p>
      <w:r>
        <w:rPr>
          <w:i/>
          <w:color w:val="666666"/>
          <w:sz w:val="18"/>
        </w:rPr>
        <w:t>Topalhafizoglu S et al.  ·  Acta Orthop  ·  03.09.2026  ·  PMID 42690130</w:t>
      </w:r>
    </w:p>
    <w:p>
      <w:r>
        <w:t>Retrospektive Kohortenstudie zu Risikofaktoren für oberflächliche und tiefe Wundinfektionen nach offener Reposition und interner Fixation von Sprunggelenkfrakturen in zwei nordischen Zentren.</w:t>
      </w:r>
    </w:p>
    <w:p>
      <w:r>
        <w:rPr>
          <w:b/>
        </w:rPr>
        <w:t xml:space="preserve">Ergebnis: </w:t>
      </w:r>
      <w:r>
        <w:t>11% Infektionsrate (86/781); 27% davon benötigten Revisionsoperation; 43% als Fraktur-assoziierte Infektionen klassifiziert. Signifikant erhöhte Chancen: Rauchen (aOR 2,3, CI 1,1–4,8; p=0,02), initiale externe Fixation (aOR 5,6, CI 1,7–17,6; p=0,004), längere Operationszeit (OR pro Min 1,0, p=0,004).</w:t>
      </w:r>
    </w:p>
    <w:p>
      <w:r>
        <w:rPr>
          <w:b/>
          <w:sz w:val="19"/>
        </w:rPr>
        <w:t xml:space="preserve">Übertragbarkeit: </w:t>
      </w:r>
      <w:r>
        <w:rPr>
          <w:sz w:val="19"/>
        </w:rPr>
        <w:t>Schweden, europäisches Versicherungs- und Qualitätskontrollsystem</w:t>
      </w:r>
    </w:p>
    <w:p>
      <w:r>
        <w:rPr>
          <w:color w:val="5A7D3A"/>
          <w:sz w:val="18"/>
        </w:rPr>
        <w:t>https://pubmed.ncbi.nlm.nih.gov/42690130/</w:t>
      </w:r>
    </w:p>
    <w:p>
      <w:pPr>
        <w:pStyle w:val="Heading2"/>
      </w:pPr>
      <w:r>
        <w:t>Strukturierte Übergabe OP-PICU senkte Handover-Zeit um 50% und Medikationsfehler auf null</w:t>
      </w:r>
    </w:p>
    <w:p>
      <w:r>
        <w:rPr>
          <w:i/>
          <w:color w:val="666666"/>
          <w:sz w:val="18"/>
        </w:rPr>
        <w:t>Sharadgah A et al.  ·  Nurs Crit Care  ·  Sept. 2026  ·  PMID 42687704</w:t>
      </w:r>
    </w:p>
    <w:p>
      <w:r>
        <w:t>Qualitätsverbesserungsprojekt zur Standardisierung der Übergabe vom Operationssaal auf die pädiatrische Intensivstation durch Checklisten, Drogenarchiv und strukturiertes Briefing.</w:t>
      </w:r>
    </w:p>
    <w:p>
      <w:r>
        <w:rPr>
          <w:b/>
        </w:rPr>
        <w:t xml:space="preserve">Ergebnis: </w:t>
      </w:r>
      <w:r>
        <w:t>Handover-Dauer von 15–20 min auf 8–10 min gesenkt (50%); Null Medikationsfehler in 77 Post-Interventions-Fällen vs. 6 in 96 Baseline-Fällen; Familienszufriedenheit stieg von 72% auf 90% (6 Monate); Personalzufriedenheit von 58% auf 95%; hämodynamische Instabilität durch Infusionsänderungen praktisch eliminiert.</w:t>
      </w:r>
    </w:p>
    <w:p>
      <w:r>
        <w:rPr>
          <w:b/>
          <w:sz w:val="19"/>
        </w:rPr>
        <w:t xml:space="preserve">Übertragbarkeit: </w:t>
      </w:r>
      <w:r>
        <w:rPr>
          <w:sz w:val="19"/>
        </w:rPr>
        <w:t>Tertiary pediatric hospital UAE; Handover-Risiken und Medikationsprozesse überall ähnlich</w:t>
      </w:r>
    </w:p>
    <w:p>
      <w:r>
        <w:rPr>
          <w:color w:val="5A7D3A"/>
          <w:sz w:val="18"/>
        </w:rPr>
        <w:t>https://pubmed.ncbi.nlm.nih.gov/42687704/</w:t>
      </w:r>
    </w:p>
    <w:p>
      <w:pPr>
        <w:pStyle w:val="Heading2"/>
      </w:pPr>
      <w:r>
        <w:t>Psychosoziale Faktoren und Selbstwirksamkeit treiben Antibiotic-Stewardship-Entscheidungen</w:t>
      </w:r>
    </w:p>
    <w:p>
      <w:r>
        <w:rPr>
          <w:i/>
          <w:color w:val="666666"/>
          <w:sz w:val="18"/>
        </w:rPr>
        <w:t>Liu X et al.  ·  Sci Rep  ·  13.08.2026  ·  PMID 42686801</w:t>
      </w:r>
    </w:p>
    <w:p>
      <w:r>
        <w:t>Längsschnittstudie mit zwei Wellen (11 Monate Abstand) bei 1.420 chinesischen Klinikern in Krankenhäusern aller Versorgungsstufen zur Vorhersage von Stewardship-konformen Reaktionen auf klinische Szenarien.</w:t>
      </w:r>
    </w:p>
    <w:p>
      <w:r>
        <w:rPr>
          <w:b/>
        </w:rPr>
        <w:t xml:space="preserve">Ergebnis: </w:t>
      </w:r>
      <w:r>
        <w:t>Höhere Stewardship-Scores assoziiert mit stärkeren begründeten Überzeugungen, weniger wahrgenommenen Barrieren, höherer Selbstwirksamkeit, besseren Kenntnissen und mehr Sozialsupport; TPB-Überzeugungen nicht unabhängig signifikant nach gegenseitiger Anpassung. Krankenhausebene moderierte Assoziationen (stärker in Tertiärkliniken). Interventionen sollten Kompetenz, Vertrauen, unterstützende Umgebung und institutionellen Kontext adressieren.</w:t>
      </w:r>
    </w:p>
    <w:p>
      <w:r>
        <w:rPr>
          <w:b/>
          <w:sz w:val="19"/>
        </w:rPr>
        <w:t xml:space="preserve">Übertragbarkeit: </w:t>
      </w:r>
      <w:r>
        <w:rPr>
          <w:sz w:val="19"/>
        </w:rPr>
        <w:t>China, aber psychosoziale Determinanten und Barrieren in Stewardship-Implementierung international relevant</w:t>
      </w:r>
    </w:p>
    <w:p>
      <w:r>
        <w:rPr>
          <w:color w:val="5A7D3A"/>
          <w:sz w:val="18"/>
        </w:rPr>
        <w:t>https://pubmed.ncbi.nlm.nih.gov/42686801/</w:t>
      </w:r>
    </w:p>
    <w:p>
      <w:pPr>
        <w:pStyle w:val="Heading2"/>
      </w:pPr>
      <w:r>
        <w:t>Modulare Kompetenz-orientierte Psychotherapie senkte Zwangsmittel und Isolierung in Psychiatrie</w:t>
      </w:r>
    </w:p>
    <w:p>
      <w:r>
        <w:rPr>
          <w:i/>
          <w:color w:val="666666"/>
          <w:sz w:val="18"/>
        </w:rPr>
        <w:t>Störkel LM et al.  ·  BMC Psychiatry  ·  05.08.2026  ·  PMID 42557550</w:t>
      </w:r>
    </w:p>
    <w:p>
      <w:r>
        <w:t>Naturalistisches Drei-Jahres-Vergleichsstudium zwischen zwei Kliniken zum Effekt einer kompetenzorientierten psychotherapeutischen Intervention auf Häufigkeit und Dauer von Fixierung und Isolierung.</w:t>
      </w:r>
    </w:p>
    <w:p>
      <w:r>
        <w:rPr>
          <w:b/>
        </w:rPr>
        <w:t xml:space="preserve">Ergebnis: </w:t>
      </w:r>
      <w:r>
        <w:t>An Standort A mit MCP-Implementierung: Wahrscheinlichkeit und Dauer von Fixierung sanken signifikant über Zeit, Isolierungsdauer sanken signifikant stärker als an Standort B; Assaults beschreibend rückläufig bei A, stabil bei B. Keine Indizien für erhöhtes Risiko; preliminary evidence für Machbarkeit und Nutzen.</w:t>
      </w:r>
    </w:p>
    <w:p>
      <w:r>
        <w:rPr>
          <w:b/>
          <w:sz w:val="19"/>
        </w:rPr>
        <w:t xml:space="preserve">Übertragbarkeit: </w:t>
      </w:r>
      <w:r>
        <w:rPr>
          <w:sz w:val="19"/>
        </w:rPr>
        <w:t>Deutschland (zwei Vitos-Standorte Hessen/Hessen); vergleichbar Qualitätsmessungen in Psychiatrie</w:t>
      </w:r>
    </w:p>
    <w:p>
      <w:r>
        <w:rPr>
          <w:color w:val="5A7D3A"/>
          <w:sz w:val="18"/>
        </w:rPr>
        <w:t>https://pubmed.ncbi.nlm.nih.gov/42557550/</w:t>
      </w:r>
    </w:p>
    <w:p>
      <w:pPr>
        <w:pStyle w:val="Heading1"/>
      </w:pPr>
      <w:r>
        <w:t>Aufgenommen am 03.09.2026</w:t>
      </w:r>
    </w:p>
    <w:p>
      <w:pPr>
        <w:pStyle w:val="Heading2"/>
      </w:pPr>
      <w:r>
        <w:t>Flucloxacillin erhöht akute Nierenschädigung bei Staphylokokken-Bakteriämie: OR 2,37 gegenüber Cefazolin</w:t>
      </w:r>
    </w:p>
    <w:p>
      <w:r>
        <w:rPr>
          <w:i/>
          <w:color w:val="666666"/>
          <w:sz w:val="18"/>
        </w:rPr>
        <w:t>Sinkeler FS et al.  ·  J Antimicrob Chemother  ·  01.09.2026  ·  PMID 42683513</w:t>
      </w:r>
    </w:p>
    <w:p>
      <w:r>
        <w:t>Retrospektive multizentrische Kohortenstudie aus drei niederländischen Krankenhäusern mit 1408 erwachsenen Patienten mit Staphylococcus-aureus-Bakteriämie (SAB), behandelt mit Flucloxacillin oder Cefazolin; akute Nierenschädigung (AKI) Inzidenz, Schweregrad, Zeitpunkt und Erholung verglichen.</w:t>
      </w:r>
    </w:p>
    <w:p>
      <w:r>
        <w:rPr>
          <w:b/>
        </w:rPr>
        <w:t xml:space="preserve">Ergebnis: </w:t>
      </w:r>
      <w:r>
        <w:t>AKI bei 483 Patienten (34,3 %). Größere AKI-Häufigkeit unter Flucloxacillin (466/1324 [35,2 %] vs. 17/84 [20,2 %]; p=0,004). Nach multivariater Adjustierung blieb Flucloxacillin mit höherem AKI-Risiko assoziiert (adjustiertes OR 2,37; 95 %-KI 1,30-4,55). Mediane Zeit bis AKI 1,3 Tage; Erholung innerhalb 30 Tagen: 81,7 % bei Stadium 1 vs. 50,5 % bei Stadium 3. Initiale Flucloxacillin-Dosierung war mit AKI-Auftreten nicht assoziiert, was auf strukturelle Nephrotoxizität hindeutet.</w:t>
      </w:r>
    </w:p>
    <w:p>
      <w:r>
        <w:rPr>
          <w:b/>
          <w:sz w:val="19"/>
        </w:rPr>
        <w:t xml:space="preserve">Übertragbarkeit: </w:t>
      </w:r>
      <w:r>
        <w:rPr>
          <w:sz w:val="19"/>
        </w:rPr>
        <w:t>Niederlande, vergleichbares deutsches Versicherungssystem, direkt anwendbar</w:t>
      </w:r>
    </w:p>
    <w:p>
      <w:r>
        <w:rPr>
          <w:color w:val="5A7D3A"/>
          <w:sz w:val="18"/>
        </w:rPr>
        <w:t>https://pubmed.ncbi.nlm.nih.gov/42683513/</w:t>
      </w:r>
    </w:p>
    <w:p>
      <w:pPr>
        <w:pStyle w:val="Heading2"/>
      </w:pPr>
      <w:r>
        <w:t>Hochvolumen-Dialysestationen mit &gt;3000 Fällen/Monat haben 2,6-fach erhöhtes Risiko für Transportsicherheitsvorfälle</w:t>
      </w:r>
    </w:p>
    <w:p>
      <w:r>
        <w:rPr>
          <w:i/>
          <w:color w:val="666666"/>
          <w:sz w:val="18"/>
        </w:rPr>
        <w:t>Li J et al.  ·  Front Public Health  ·  18.08.2026  ·  PMID 42682581</w:t>
      </w:r>
    </w:p>
    <w:p>
      <w:r>
        <w:t>Multizentrische Querschnittsstudie an 135 chinesischen Dialysestationen mit 4253 Pflegekräften charakterisiert Sicherheitsvorfälle während intrahospitaler Transporte von 135.459 Hämodialysepatienten über 12 Monate; Organisationsfaktoren und Meldekultur evaluiert.</w:t>
      </w:r>
    </w:p>
    <w:p>
      <w:r>
        <w:rPr>
          <w:b/>
        </w:rPr>
        <w:t xml:space="preserve">Ergebnis: </w:t>
      </w:r>
      <w:r>
        <w:t>268 Sicherheitsvorfälle (0,2 % der Transporte) gemeldet. Gerätefehler 61,14 %, Patientenunfälle 45,24 %, Blut-/Blutprodukt-Ereignisse 43,94 %, Gas-/Sauerstoff-Probleme 42,39 %, Verabreichungsfehler 41,83 %. Unabhängiger Risikofaktor: &gt;3000 Dialyse-Verfahren/Monat (OR 2,580; 95 %-KI 1,198-5,556; p=0,015). Verbesserte Meldequoten durch Qualitätskontrollmaßnahmen (OR 3,540; 95 %-KI 1,604-7,814; p=0,002) zeigen Meldekultur-Effekt.</w:t>
      </w:r>
    </w:p>
    <w:p>
      <w:r>
        <w:rPr>
          <w:b/>
          <w:sz w:val="19"/>
        </w:rPr>
        <w:t xml:space="preserve">Übertragbarkeit: </w:t>
      </w:r>
      <w:r>
        <w:rPr>
          <w:sz w:val="19"/>
        </w:rPr>
        <w:t>China, Dialysevolumen-Risiko ist systemunabhängig, Fehlermeldesystem funktional vergleichbar</w:t>
      </w:r>
    </w:p>
    <w:p>
      <w:r>
        <w:rPr>
          <w:color w:val="5A7D3A"/>
          <w:sz w:val="18"/>
        </w:rPr>
        <w:t>https://pubmed.ncbi.nlm.nih.gov/42682581/</w:t>
      </w:r>
    </w:p>
    <w:p>
      <w:pPr>
        <w:pStyle w:val="Heading2"/>
      </w:pPr>
      <w:r>
        <w:t>Pharmakist-geführtes Antibiotic Stewardship reduziert Breitspektrum-Einsatz um 35-40 % in der Notaufnahme</w:t>
      </w:r>
    </w:p>
    <w:p>
      <w:r>
        <w:rPr>
          <w:i/>
          <w:color w:val="666666"/>
          <w:sz w:val="18"/>
        </w:rPr>
        <w:t>Althubyani AA et al.  ·  J Am Coll Clin Pharm  ·  Sept. 2026  ·  PMID 42682024</w:t>
      </w:r>
    </w:p>
    <w:p>
      <w:r>
        <w:t>Retrospektive Kohortenanalyse von 324 Notaufnahme-Patienten mit empirischer Antibiose vor (162 Patienten) und nach Implementierung (162 Patienten) eines Pharmazistenantibiotic-Stewardship-Programms; Eignung der empirischen Therapie und Antibiotikaanwendung gemessen.</w:t>
      </w:r>
    </w:p>
    <w:p>
      <w:r>
        <w:rPr>
          <w:b/>
        </w:rPr>
        <w:t xml:space="preserve">Ergebnis: </w:t>
      </w:r>
      <w:r>
        <w:t>Angepasste empirische Therapieeignung unterschied sich nicht signifikant (49,4 % vs. 53,7 %; p=0,44). Aber signifikante Reduktion unnötiger Pseudomonasabdeckung (54,9 % vs. 35,2 %; p&lt;0,001), MRSA-Abdeckung (23,5 % vs. 13,6 %; p=0,02), und Breitspektrumantibiotika (Piperacillin/Tazobactam 22,3 % vs. 14,5 %; p=0,02). Vancomycin-Dosierung besserte sich von 52,6 % auf 77,3 % Angemessenheit (p=0,06). Unabhängige Prädiktor für unangemessene Therapie: häusliche Wundversorgung (aOR 5,36), männliches Geschlecht (aOR 1,72), gastrointestinale Infektion (aOR 2,67).</w:t>
      </w:r>
    </w:p>
    <w:p>
      <w:r>
        <w:rPr>
          <w:b/>
          <w:sz w:val="19"/>
        </w:rPr>
        <w:t xml:space="preserve">Übertragbarkeit: </w:t>
      </w:r>
      <w:r>
        <w:rPr>
          <w:sz w:val="19"/>
        </w:rPr>
        <w:t>USA-System, aber Antibiotic-Stewardship-Befund ist unabhängig vom Haftungsrecht</w:t>
      </w:r>
    </w:p>
    <w:p>
      <w:r>
        <w:rPr>
          <w:color w:val="5A7D3A"/>
          <w:sz w:val="18"/>
        </w:rPr>
        <w:t>https://pubmed.ncbi.nlm.nih.gov/42682024/</w:t>
      </w:r>
    </w:p>
    <w:p>
      <w:pPr>
        <w:pStyle w:val="Heading2"/>
      </w:pPr>
      <w:r>
        <w:t>Automatisierte Überwachung von Wundinfektionen mit Routine-Krankenhauskaten senkt Hygieneaufwand</w:t>
      </w:r>
    </w:p>
    <w:p>
      <w:r>
        <w:rPr>
          <w:i/>
          <w:color w:val="666666"/>
          <w:sz w:val="18"/>
        </w:rPr>
        <w:t>Sons D et al.  ·  Antimicrob Resist Infect Control  ·  31.08.2026  ·  PMID 42681650</w:t>
      </w:r>
    </w:p>
    <w:p>
      <w:r>
        <w:t>Studie evaluiert einen Algorithmus (sAReS-SSI) zur automatisierten Erkennung von postoperativen Wundinfektionen aus Routinedaten anhand von ICD-10/OPS-Katalogen und validiert das Verfahren gegen Bettseitenüberwachung auf orthopädisch-traumatologischen Stationen.</w:t>
      </w:r>
    </w:p>
    <w:p>
      <w:r>
        <w:rPr>
          <w:b/>
        </w:rPr>
        <w:t xml:space="preserve">Ergebnis: </w:t>
      </w:r>
      <w:r>
        <w:t>Der Algorithmus identifizierte 94,7 % der Wundinfektionen (Sensitivität 94,7 %, Spezifität 94,3 %, negativer prädiktiver Wert 99,8 %). Die automatisierte Analyse reduziert den Arbeitsaufwand für Hygienefachkräfte erheblich und erweitert die Erfassungsrate gegenüber den derzeit verwendeten OP-KISS-Berichten.</w:t>
      </w:r>
    </w:p>
    <w:p>
      <w:r>
        <w:rPr>
          <w:b/>
          <w:sz w:val="19"/>
        </w:rPr>
        <w:t xml:space="preserve">Übertragbarkeit: </w:t>
      </w:r>
      <w:r>
        <w:rPr>
          <w:sz w:val="19"/>
        </w:rPr>
        <w:t>Deutschland, Routinedaten nach Infektionsschutzgesetz und Hygienerichtlinien, direkt übertragbar</w:t>
      </w:r>
    </w:p>
    <w:p>
      <w:r>
        <w:rPr>
          <w:color w:val="5A7D3A"/>
          <w:sz w:val="18"/>
        </w:rPr>
        <w:t>https://pubmed.ncbi.nlm.nih.gov/42681650/</w:t>
      </w:r>
    </w:p>
    <w:p>
      <w:pPr>
        <w:pStyle w:val="Heading2"/>
      </w:pPr>
      <w:r>
        <w:t>Vergleich von Meropenem und Piperacillin/Tazobactam bei Sepsis: Feasibility-Phase mit vier erfüllten Kriterien</w:t>
      </w:r>
    </w:p>
    <w:p>
      <w:r>
        <w:rPr>
          <w:i/>
          <w:color w:val="666666"/>
          <w:sz w:val="18"/>
        </w:rPr>
        <w:t>Meier NF et al.  ·  Acta Anaesthesiol Scand  ·  Okt. 2026  ·  PMID 42674465</w:t>
      </w:r>
    </w:p>
    <w:p>
      <w:r>
        <w:t>Integrierte Feasibility-Phase der EMPRESS-Studie vergleicht empirische Therapie mit Meropenem versus Piperacillin/Tazobactam bei intensivpflichtiger Sepsis in 10 dänischen ICUs (Juni-Dezember 2025); 200 von 284 gescreenten Patienten (70,4 %) randomisiert.</w:t>
      </w:r>
    </w:p>
    <w:p>
      <w:r>
        <w:rPr>
          <w:b/>
        </w:rPr>
        <w:t xml:space="preserve">Ergebnis: </w:t>
      </w:r>
      <w:r>
        <w:t>Vier von fünf Feasibility-Kriterien erfüllt: Rekrutierung 70,4 % (Schwelle ≥50 %), Studienabschluss 5,5 Monate (Schwelle &lt;12 Monate), Protokolladherence 81,0 % (Schwelle ≥75 %), Datenverfügbarkeit initial 85,5 % (unter Schwelle 95 %, verbesserte sich auf 95,8 % in letztem Monat). 30-Tages-Mortalität 30,5 %, schwere unerwünschte Reaktionen 4,0 %. Studie wird ohne Änderungen fortgesetzt.</w:t>
      </w:r>
    </w:p>
    <w:p>
      <w:r>
        <w:rPr>
          <w:b/>
          <w:sz w:val="19"/>
        </w:rPr>
        <w:t xml:space="preserve">Übertragbarkeit: </w:t>
      </w:r>
      <w:r>
        <w:rPr>
          <w:sz w:val="19"/>
        </w:rPr>
        <w:t>Skandinavien, vergleichbare Intensivmedizin, Entschädigungssystem ohne Verschuldensnachweis</w:t>
      </w:r>
    </w:p>
    <w:p>
      <w:r>
        <w:rPr>
          <w:color w:val="5A7D3A"/>
          <w:sz w:val="18"/>
        </w:rPr>
        <w:t>https://pubmed.ncbi.nlm.nih.gov/42674465/</w:t>
      </w:r>
    </w:p>
    <w:p>
      <w:pPr>
        <w:pStyle w:val="Heading2"/>
      </w:pPr>
      <w:r>
        <w:t>Öffentliche Kampagnen verdreifachen Patientenbeschwerden über Sicherheitsmängel in Kroatien</w:t>
      </w:r>
    </w:p>
    <w:p>
      <w:r>
        <w:rPr>
          <w:i/>
          <w:color w:val="666666"/>
          <w:sz w:val="18"/>
        </w:rPr>
        <w:t>Krstulović J et al.  ·  Croat Med J  ·  31.08.2026  ·  PMID 42669912</w:t>
      </w:r>
    </w:p>
    <w:p>
      <w:r>
        <w:t>Retrospektive Analyse von 36 Patientenbeschwerden an ein Komitee zum Schutz von Patientenrechten (2022-2024) nach WHO-Patientensicherheitscharta klassifiziert; Auswirkung von Öffentlichkeitskampagnen auf Meldequoten evaluiert.</w:t>
      </w:r>
    </w:p>
    <w:p>
      <w:r>
        <w:rPr>
          <w:b/>
        </w:rPr>
        <w:t xml:space="preserve">Ergebnis: </w:t>
      </w:r>
      <w:r>
        <w:t>Nach Kampagnen zur Sensibilisierung (2023-2024) stieg die Zahl der codierten Charta-Verletzungen von 11 (2022) auf 36 (2024), monatliche Meldequoten verdreifachten sich (Ratenratio 3,3; 95 %-KI 1,7-6,4; p=0,001). Häufigste Verstöße: Recht auf zeitgerechte und angemessene Versorgung (38 %), Würde und Datenschutz (22 %), Akteneinsicht (12 %).</w:t>
      </w:r>
    </w:p>
    <w:p>
      <w:r>
        <w:rPr>
          <w:b/>
          <w:sz w:val="19"/>
        </w:rPr>
        <w:t xml:space="preserve">Übertragbarkeit: </w:t>
      </w:r>
      <w:r>
        <w:rPr>
          <w:sz w:val="19"/>
        </w:rPr>
        <w:t>Croatie, Transparenz und Patientenbeteiligung sind Länder-übergreifend relevant</w:t>
      </w:r>
    </w:p>
    <w:p>
      <w:r>
        <w:rPr>
          <w:color w:val="5A7D3A"/>
          <w:sz w:val="18"/>
        </w:rPr>
        <w:t>https://pubmed.ncbi.nlm.nih.gov/42669912/</w:t>
      </w:r>
    </w:p>
    <w:p>
      <w:pPr>
        <w:pStyle w:val="Heading2"/>
      </w:pPr>
      <w:r>
        <w:t>Procalcitonin ≥0,85 ng/mL unterscheidet Sepsis mit Blutkultur-Nachweis mit 84 % Spezifität</w:t>
      </w:r>
    </w:p>
    <w:p>
      <w:r>
        <w:rPr>
          <w:i/>
          <w:color w:val="666666"/>
          <w:sz w:val="18"/>
        </w:rPr>
        <w:t>Pozzessere P et al.  ·  Medicina (Kaunas)  ·  20.07.2026  ·  PMID 42512947</w:t>
      </w:r>
    </w:p>
    <w:p>
      <w:r>
        <w:t>Retrospektive Analyse von 912 Patienten mit Sepsis/septischem Schock in der Notaufnahme (März 2023-Dezember 2025); Blutkultur-Positivität und deren prognostische Bedeutung für 28-, 90- und 365-Tages-Überleben evaluiert.</w:t>
      </w:r>
    </w:p>
    <w:p>
      <w:r>
        <w:rPr>
          <w:b/>
        </w:rPr>
        <w:t xml:space="preserve">Ergebnis: </w:t>
      </w:r>
      <w:r>
        <w:t>602 Kulturen positiv, 310 negativ. Procalcitonin zeigte gute Diskriminierungsfähigkeit (AUC 0,785; Cutoff 0,85 ng/mL; Sensitivität 59,8 %, Spezifität 83,8 %). Kultur-positive Patienten hatten niedrigere Überlebensraten (28-Tage: 72,9 % vs. 85,9 %; 365-Tage: 44,3 % vs. 61,2 %), aber nach adjustierter Cox-Regression war Kultur-Positivität kein unabhängiger Prädiktor (HR 1,46; p=0,092); Alter und SOFA-Score blieben signifikant.</w:t>
      </w:r>
    </w:p>
    <w:p>
      <w:r>
        <w:rPr>
          <w:b/>
          <w:sz w:val="19"/>
        </w:rPr>
        <w:t xml:space="preserve">Übertragbarkeit: </w:t>
      </w:r>
      <w:r>
        <w:rPr>
          <w:sz w:val="19"/>
        </w:rPr>
        <w:t>Italien, Notfallmedizin mit Blutkulturstandard, europäisches System</w:t>
      </w:r>
    </w:p>
    <w:p>
      <w:r>
        <w:rPr>
          <w:color w:val="5A7D3A"/>
          <w:sz w:val="18"/>
        </w:rPr>
        <w:t>https://pubmed.ncbi.nlm.nih.gov/42512947/</w:t>
      </w:r>
    </w:p>
    <w:p>
      <w:pPr>
        <w:pStyle w:val="Heading1"/>
      </w:pPr>
      <w:r>
        <w:t>Aufgenommen am 02.09.2026</w:t>
      </w:r>
    </w:p>
    <w:p>
      <w:pPr>
        <w:pStyle w:val="Heading2"/>
      </w:pPr>
      <w:r>
        <w:t>Infektionsprävention: Mangelhafte Gesamtausstattung und Zeitdruck hindern Pflegekräfte an Einhaltung von COVID-19-Schutzmaßnahmen</w:t>
      </w:r>
    </w:p>
    <w:p>
      <w:r>
        <w:rPr>
          <w:i/>
          <w:color w:val="666666"/>
          <w:sz w:val="18"/>
        </w:rPr>
        <w:t>Houghton C et al.  ·  Cochrane Database Syst Rev  ·  01.09.2026  ·  PMID 42677895</w:t>
      </w:r>
    </w:p>
    <w:p>
      <w:r>
        <w:t>Systematischer Review mit qualitativer Evidenz-Synthese aus 26 Studien (davon 7 aus wohlhabenden Ländern) zu Faktoren, die Einhaltung von Infektionsschutzrichtlinien durch Fachpersonal beeinflussen.</w:t>
      </w:r>
    </w:p>
    <w:p>
      <w:r>
        <w:rPr>
          <w:b/>
        </w:rPr>
        <w:t xml:space="preserve">Ergebnis: </w:t>
      </w:r>
      <w:r>
        <w:t>Strukturierte Ergebnisse mit unterschiedlicher Konfidenz: Hohe Konfidenz (n=12 Befunde) – Managementunterstützung, klare Richtlinien-Kommunikation und Schulung fördern Einhaltung; Zeitdruck, Personalmangel und PPE-Mangel behindern sie. Mittlere Konfidenz (n=12), niedrige (n=3). 27 Faktoren insgesamt benannt.</w:t>
      </w:r>
    </w:p>
    <w:p>
      <w:r>
        <w:rPr>
          <w:b/>
          <w:sz w:val="19"/>
        </w:rPr>
        <w:t xml:space="preserve">Übertragbarkeit: </w:t>
      </w:r>
      <w:r>
        <w:rPr>
          <w:sz w:val="19"/>
        </w:rPr>
        <w:t>26 Studien mit globaler Abdeckung (Asien, Afrika, Europa); größtenteils 2020–2024 während Pandemie.</w:t>
      </w:r>
    </w:p>
    <w:p>
      <w:r>
        <w:rPr>
          <w:color w:val="5A7D3A"/>
          <w:sz w:val="18"/>
        </w:rPr>
        <w:t>https://pubmed.ncbi.nlm.nih.gov/42677895/</w:t>
      </w:r>
    </w:p>
    <w:p>
      <w:pPr>
        <w:pStyle w:val="Heading2"/>
      </w:pPr>
      <w:r>
        <w:t>Apotheker-Stewardship erhöht Antibiotika-Angemessenheit bei Kindern mit Pneumonie von 60% auf 87%</w:t>
      </w:r>
    </w:p>
    <w:p>
      <w:r>
        <w:rPr>
          <w:i/>
          <w:color w:val="666666"/>
          <w:sz w:val="18"/>
        </w:rPr>
        <w:t>Nguyen T et al.  ·  J Am Coll Clin Pharm  ·  Sept. 2026  ·  PMID 42676278</w:t>
      </w:r>
    </w:p>
    <w:p>
      <w:r>
        <w:t>Quasi-experimentelle Vorher-Nachher-Studie in Vietnam mit 560 Kindern (280 vor, 280 nach Intervention), die einen pharmazeutisch geleiteten Antibiotic-Stewardship-Einsatz mit Schulung und Audit evaluierte.</w:t>
      </w:r>
    </w:p>
    <w:p>
      <w:r>
        <w:rPr>
          <w:b/>
        </w:rPr>
        <w:t xml:space="preserve">Ergebnis: </w:t>
      </w:r>
      <w:r>
        <w:t>Gesamtangemessenheit stieg von 60,36% auf 86,79% (p&lt;0,001; Δ=26,4 Prozentpunkte). Dosierungs-Angemessenheit 67,14% → 90,71% (p&lt;0,001), Dosierungsintervall 90,36% → 98,57% (p&lt;0,001). Prädiktoren für unangemessene Verordnung vor Intervention: Alter &lt;12 Monate (OR 2,1, 95%-KI 1,3–3,5), Kombinationstherapie (OR 4,6, 95%-KI 1,75–12,1).</w:t>
      </w:r>
    </w:p>
    <w:p>
      <w:r>
        <w:rPr>
          <w:b/>
          <w:sz w:val="19"/>
        </w:rPr>
        <w:t xml:space="preserve">Übertragbarkeit: </w:t>
      </w:r>
      <w:r>
        <w:rPr>
          <w:sz w:val="19"/>
        </w:rPr>
        <w:t>Vietnam (Mittel-/Niedrigeinkommen-Land), struktur-kulturelle Unterschiede; Sicherheits-Intervention breit übertragbar.</w:t>
      </w:r>
    </w:p>
    <w:p>
      <w:r>
        <w:rPr>
          <w:color w:val="5A7D3A"/>
          <w:sz w:val="18"/>
        </w:rPr>
        <w:t>https://pubmed.ncbi.nlm.nih.gov/42676278/</w:t>
      </w:r>
    </w:p>
    <w:p>
      <w:pPr>
        <w:pStyle w:val="Heading2"/>
      </w:pPr>
      <w:r>
        <w:t>Multiresistente Klebsiella pneumoniae: Nosokomialer Infektionsanstieg in Polen um das 50-Fache</w:t>
      </w:r>
    </w:p>
    <w:p>
      <w:r>
        <w:rPr>
          <w:i/>
          <w:color w:val="666666"/>
          <w:sz w:val="18"/>
        </w:rPr>
        <w:t>Filipkowska M et al.  ·  Front Cell Infect Microbiol  ·  30.07.2026  ·  PMID 42597730</w:t>
      </w:r>
    </w:p>
    <w:p>
      <w:r>
        <w:t>Beobachtungsstudie mit Aggregatdaten aller polnischen ITS von 2019–2023, die Risikoänderungen für nosokomialen Infektionen mit Methicillin-resistenten und anderen multiresistenten Erregern mittels standardisierter Infektionsrate (SIR) evaluierte.</w:t>
      </w:r>
    </w:p>
    <w:p>
      <w:r>
        <w:rPr>
          <w:b/>
        </w:rPr>
        <w:t xml:space="preserve">Ergebnis: </w:t>
      </w:r>
      <w:r>
        <w:t>MBL/NDM-produzierende K. pneumoniae zeigten die stärkste Risikoerhöhung (SIR in Niederschlesien und Schlesien &gt;50×höher als 2019-Baseline); regionale Variation erheblich (p&lt;0,05). E. faecalis-VRE in Lublin mehrfach über Baseline; MRSA erhöht in Lublin, Subkarpaten, Schlesien.</w:t>
      </w:r>
    </w:p>
    <w:p>
      <w:r>
        <w:rPr>
          <w:b/>
          <w:sz w:val="19"/>
        </w:rPr>
        <w:t xml:space="preserve">Übertragbarkeit: </w:t>
      </w:r>
      <w:r>
        <w:rPr>
          <w:sz w:val="19"/>
        </w:rPr>
        <w:t>Polen, europa-nächst an Deutschland; öffentlicher Gesundheitsdienst und Meldepflichten ähnlich.</w:t>
      </w:r>
    </w:p>
    <w:p>
      <w:r>
        <w:rPr>
          <w:color w:val="5A7D3A"/>
          <w:sz w:val="18"/>
        </w:rPr>
        <w:t>https://pubmed.ncbi.nlm.nih.gov/42597730/</w:t>
      </w:r>
    </w:p>
    <w:p>
      <w:pPr>
        <w:pStyle w:val="Heading2"/>
      </w:pPr>
      <w:r>
        <w:t>Terminal-Komplement-Inhibition verstärkt Nierenversagen und Blutungsrisiko bei septischem Schock</w:t>
      </w:r>
    </w:p>
    <w:p>
      <w:r>
        <w:rPr>
          <w:i/>
          <w:color w:val="666666"/>
          <w:sz w:val="18"/>
        </w:rPr>
        <w:t>Vahldieck C et al.  ·  J Crit Care  ·  29.07.2026  ·  PMID 42526359</w:t>
      </w:r>
    </w:p>
    <w:p>
      <w:r>
        <w:t>Propensity-Score-adjustierte Kohorten-Studie mit 1.276 Patienten (638 per Arm) in separatem Matching, die C5-Inhibitoren (Eculizumab/Ravulizumab) bei septischem Schock bezüglich unerwünschter Ereignisse evaluierte.</w:t>
      </w:r>
    </w:p>
    <w:p>
      <w:r>
        <w:rPr>
          <w:b/>
        </w:rPr>
        <w:t xml:space="preserve">Ergebnis: </w:t>
      </w:r>
      <w:r>
        <w:t>Unter Komplement-Inhibition: Thrombozytopenie 20,3% vs. 8,9% (p&lt;0,001), akutes Nierenversagen 25,0% vs. 13,3% (p&lt;0,001), thrombotische Ereignisse 7,8% vs. 4,7% (p=0,021). Nierenersatztherapie 8,3% vs. 5,1% (p=0,026). 30-Tage-Mortalität ohne signifikanten Unterschied (nicht berichtet).</w:t>
      </w:r>
    </w:p>
    <w:p>
      <w:r>
        <w:rPr>
          <w:b/>
          <w:sz w:val="19"/>
        </w:rPr>
        <w:t xml:space="preserve">Übertragbarkeit: </w:t>
      </w:r>
      <w:r>
        <w:rPr>
          <w:sz w:val="19"/>
        </w:rPr>
        <w:t>USA-basiert (TriNetX-Netzwerk), Haftungsklima unterscheidet sich; nur Sicherheitsbefunde übertragbar.</w:t>
      </w:r>
    </w:p>
    <w:p>
      <w:r>
        <w:rPr>
          <w:color w:val="5A7D3A"/>
          <w:sz w:val="18"/>
        </w:rPr>
        <w:t>https://pubmed.ncbi.nlm.nih.gov/42526359/</w:t>
      </w:r>
    </w:p>
    <w:p>
      <w:pPr>
        <w:pStyle w:val="Heading2"/>
      </w:pPr>
      <w:r>
        <w:t>Potenziell unangemessene Verschreibungen bei Erwachsenen mittleren Alters erhöhen ambulante Inanspruchnahme um 3%</w:t>
      </w:r>
    </w:p>
    <w:p>
      <w:r>
        <w:rPr>
          <w:i/>
          <w:color w:val="666666"/>
          <w:sz w:val="18"/>
        </w:rPr>
        <w:t>Naughton M et al.  ·  BMJ Open  ·  27.07.2026  ·  PMID 42509012</w:t>
      </w:r>
    </w:p>
    <w:p>
      <w:r>
        <w:t>Prospektive Kohortenstudie in Großbritannien mit 1,2 Mio. Patienten, die prüfte, ob unangemessene Medikationen zu mehr Hausarzt-Kontakten und erhöhter Sterblichkeit führen.</w:t>
      </w:r>
    </w:p>
    <w:p>
      <w:r>
        <w:rPr>
          <w:b/>
        </w:rPr>
        <w:t xml:space="preserve">Ergebnis: </w:t>
      </w:r>
      <w:r>
        <w:t>13,9% der Patienten erhielten potenziell unangemessene Medikationen (PIP). Diese führten zu erhöhter ambulanter Inanspruchnahme im Folgejahr (IRR 1,03, 95%-KI 1,02–1,03; p &lt; 0,001), aber nicht zu erhöhter Sterblichkeit (HR 0,99, 95%-KI 0,93–1,04). Polypharmazie (≥10 Medikamente) war stärkster Risikofaktor für PIP (OR 6,93).</w:t>
      </w:r>
    </w:p>
    <w:p>
      <w:r>
        <w:rPr>
          <w:b/>
          <w:sz w:val="19"/>
        </w:rPr>
        <w:t xml:space="preserve">Übertragbarkeit: </w:t>
      </w:r>
      <w:r>
        <w:rPr>
          <w:sz w:val="19"/>
        </w:rPr>
        <w:t>Großbritannien mit vergleichbarem ambulanten System; deutsche Primärdaten begrenzt verfügbar.</w:t>
      </w:r>
    </w:p>
    <w:p>
      <w:r>
        <w:rPr>
          <w:color w:val="5A7D3A"/>
          <w:sz w:val="18"/>
        </w:rPr>
        <w:t>https://pubmed.ncbi.nlm.nih.gov/42509012/</w:t>
      </w:r>
    </w:p>
    <w:p>
      <w:pPr>
        <w:pStyle w:val="Heading2"/>
      </w:pPr>
      <w:r>
        <w:t>Digitales Entscheidungs-Werkzeug reduziert Antibiotika-Verordnungen in belgischen Praxen um 5%</w:t>
      </w:r>
    </w:p>
    <w:p>
      <w:r>
        <w:rPr>
          <w:i/>
          <w:color w:val="666666"/>
          <w:sz w:val="18"/>
        </w:rPr>
        <w:t>Verbakel JY et al.  ·  BMJ Open  ·  24.07.2026  ·  PMID 42498468</w:t>
      </w:r>
    </w:p>
    <w:p>
      <w:r>
        <w:t>Gestaffelte Cluster-RCT mit 36–48 belgischen Hausarztpraxen, die eine integrierte Entscheidungshilfe (PSS-Tool) zur Antibiotic-Stewardship mit Arzneiempfehlungen testete.</w:t>
      </w:r>
    </w:p>
    <w:p>
      <w:r>
        <w:rPr>
          <w:b/>
        </w:rPr>
        <w:t xml:space="preserve">Ergebnis: </w:t>
      </w:r>
      <w:r>
        <w:t>Zielparameter ist die Reduzierung der Antibiotika-Verordnungsrate um mindestens 5% (Baseline: absolute Häufigkeit nicht berichtet). 80% Teststärke mit n=36–48 Praxen geplant. Prozess-Evaluierung kombiniert Nutzungsdaten und qualitative Interviews. Ethik-Approval: 10.10.2025; Registrierung NCT07347015.</w:t>
      </w:r>
    </w:p>
    <w:p>
      <w:r>
        <w:rPr>
          <w:b/>
          <w:sz w:val="19"/>
        </w:rPr>
        <w:t xml:space="preserve">Übertragbarkeit: </w:t>
      </w:r>
      <w:r>
        <w:rPr>
          <w:sz w:val="19"/>
        </w:rPr>
        <w:t>Belgien, ähnliche EU-Struktur, vergleichbare Primärversorgung mit Deutschland.</w:t>
      </w:r>
    </w:p>
    <w:p>
      <w:r>
        <w:rPr>
          <w:color w:val="5A7D3A"/>
          <w:sz w:val="18"/>
        </w:rPr>
        <w:t>https://pubmed.ncbi.nlm.nih.gov/42498468/</w:t>
      </w:r>
    </w:p>
    <w:p>
      <w:pPr>
        <w:pStyle w:val="Heading1"/>
      </w:pPr>
      <w:r>
        <w:t>Aufgenommen am 01.09.2026</w:t>
      </w:r>
    </w:p>
    <w:p>
      <w:pPr>
        <w:pStyle w:val="Heading2"/>
      </w:pPr>
      <w:r>
        <w:t>Probiotika halbierten ventilatorassoziierte Pneumonie bei kritisch kranken Kindern</w:t>
      </w:r>
    </w:p>
    <w:p>
      <w:r>
        <w:rPr>
          <w:i/>
          <w:color w:val="666666"/>
          <w:sz w:val="18"/>
        </w:rPr>
        <w:t>Tiwari SK et al.  ·  J Trop Pediatr  ·  20.08.2026  ·  PMID 42674774</w:t>
      </w:r>
    </w:p>
    <w:p>
      <w:r>
        <w:t>Systematische Übersicht und Metaanalyse von acht randomisierten Studien zu Probiotika bei kritisch kranken Kindern auf Intensivstationen, mit Fokus auf Pneumonie, Sterblichkeit und Liegedauer.</w:t>
      </w:r>
    </w:p>
    <w:p>
      <w:r>
        <w:rPr>
          <w:b/>
        </w:rPr>
        <w:t xml:space="preserve">Ergebnis: </w:t>
      </w:r>
      <w:r>
        <w:t>Probiotika reduzierten ventilatorassoziierte Pneumonie signifikant (RR 0,47; 95%-KI 0,35–0,64; p&lt;0,0001; hohe Evidenzsicherheit, absolute Risikoreduktion 21,9 %, Number needed to treat ≈5); kein Effekt auf Sterblichkeit (RR 0,85; 95%-KI 0,66–1,11; p=0,24) oder Liegedauer. Keine schwerwiegenden unerwünschten Ereignisse.</w:t>
      </w:r>
    </w:p>
    <w:p>
      <w:r>
        <w:rPr>
          <w:b/>
          <w:sz w:val="19"/>
        </w:rPr>
        <w:t xml:space="preserve">Übertragbarkeit: </w:t>
      </w:r>
      <w:r>
        <w:rPr>
          <w:sz w:val="19"/>
        </w:rPr>
        <w:t>International, 744 Kinder in acht RCTs; Mechanismus und Sicherheit sind übertragbar</w:t>
      </w:r>
    </w:p>
    <w:p>
      <w:r>
        <w:rPr>
          <w:color w:val="5A7D3A"/>
          <w:sz w:val="18"/>
        </w:rPr>
        <w:t>https://pubmed.ncbi.nlm.nih.gov/42674774/</w:t>
      </w:r>
    </w:p>
    <w:p>
      <w:pPr>
        <w:pStyle w:val="Heading2"/>
      </w:pPr>
      <w:r>
        <w:t>Duty of Candour schafft Vertrauen nur bei echter Empathie und Aufarbeitung</w:t>
      </w:r>
    </w:p>
    <w:p>
      <w:r>
        <w:rPr>
          <w:i/>
          <w:color w:val="666666"/>
          <w:sz w:val="18"/>
        </w:rPr>
        <w:t>Adams C et al.  ·  Health Expect  ·  Okt. 2026  ·  PMID 42670882</w:t>
      </w:r>
    </w:p>
    <w:p>
      <w:r>
        <w:t>Qualitative und quantitative Studie mit 80 australischen Patienten zu Wirkung und Verständnis der gesetzlichen Aufklärungspflicht nach schweren Sicherheitsereignissen (Statutory Duty of Candour), zwei Jahre nach Einführung in Victoria.</w:t>
      </w:r>
    </w:p>
    <w:p>
      <w:r>
        <w:rPr>
          <w:b/>
        </w:rPr>
        <w:t xml:space="preserve">Ergebnis: </w:t>
      </w:r>
      <w:r>
        <w:t>61 % ohne Vorwissen zur SDC; 78 % bewerteten sie als nützlich. Unter denen mit Ereignis berichteten über die Hälfte mangelnde Offenheit, über die Hälfte keine Nachbesprechung; Zufriedenheit mit Gesprächen nur 26 %. Sechs Themen: Candour als moralischer Halt, anhaltende Skepsis, begrenzte Zugänglichkeit, echte Entschuldigung als Vertrauensreparatur, emotionale Belastung und Organisationslernefähigkeit.</w:t>
      </w:r>
    </w:p>
    <w:p>
      <w:r>
        <w:rPr>
          <w:b/>
          <w:sz w:val="19"/>
        </w:rPr>
        <w:t xml:space="preserve">Übertragbarkeit: </w:t>
      </w:r>
      <w:r>
        <w:rPr>
          <w:sz w:val="19"/>
        </w:rPr>
        <w:t>Australien/Vereinigtes Königreich, andere Haftungsordnung, ggf. Transferlimits bei deutschem ärztlichem Haftungsrecht</w:t>
      </w:r>
    </w:p>
    <w:p>
      <w:r>
        <w:rPr>
          <w:color w:val="5A7D3A"/>
          <w:sz w:val="18"/>
        </w:rPr>
        <w:t>https://pubmed.ncbi.nlm.nih.gov/42670882/</w:t>
      </w:r>
    </w:p>
    <w:p>
      <w:pPr>
        <w:pStyle w:val="Heading2"/>
      </w:pPr>
      <w:r>
        <w:t>Urbanisierungsgerechte Risikoanpassung verbessert Reanimationsergebnisse deutschlandweit</w:t>
      </w:r>
    </w:p>
    <w:p>
      <w:r>
        <w:rPr>
          <w:i/>
          <w:color w:val="666666"/>
          <w:sz w:val="18"/>
        </w:rPr>
        <w:t>Lee D et al.  ·  BMC Emerg Med  ·  10.08.2026  ·  PMID 42587273</w:t>
      </w:r>
    </w:p>
    <w:p>
      <w:r>
        <w:t>Deutsche Registerstudie zur Kalibrierung von Risikoanpassungsmodellen für Rückkehr zur Spontanzirkulation (ROSC) nach präklinischem Herzstillstand, unter Berücksichtigung von Urbanisierungsgrad.</w:t>
      </w:r>
    </w:p>
    <w:p>
      <w:r>
        <w:rPr>
          <w:b/>
        </w:rPr>
        <w:t xml:space="preserve">Ergebnis: </w:t>
      </w:r>
      <w:r>
        <w:t>Beim refittierten RACA-Modell zeigte sich Fehlkalibrierung nach Urbanisierung: Überschätzung in ländlichen Gebieten, Unterschätzung in Metropolen und Großstädten. Das neue URACA-Modell hob diese Verzerrungen auf, ohne Diskriminationsfähigkeit einzubußen (AUROC 0,735 vs. 0,737; kontinuierliche Netzreklassifizierung 9,4 %).</w:t>
      </w:r>
    </w:p>
    <w:p>
      <w:r>
        <w:rPr>
          <w:b/>
          <w:sz w:val="19"/>
        </w:rPr>
        <w:t xml:space="preserve">Übertragbarkeit: </w:t>
      </w:r>
      <w:r>
        <w:rPr>
          <w:sz w:val="19"/>
        </w:rPr>
        <w:t>Deutschland, 145.780 Patienten aus Deutschem Reanimations-Register 2014–2023</w:t>
      </w:r>
    </w:p>
    <w:p>
      <w:r>
        <w:rPr>
          <w:color w:val="5A7D3A"/>
          <w:sz w:val="18"/>
        </w:rPr>
        <w:t>https://pubmed.ncbi.nlm.nih.gov/42587273/</w:t>
      </w:r>
    </w:p>
    <w:p>
      <w:pPr>
        <w:pStyle w:val="Heading2"/>
      </w:pPr>
      <w:r>
        <w:t>Patientenerfahrung und Sicherheit bleiben in Studien unverbunden</w:t>
      </w:r>
    </w:p>
    <w:p>
      <w:r>
        <w:rPr>
          <w:i/>
          <w:color w:val="666666"/>
          <w:sz w:val="18"/>
        </w:rPr>
        <w:t>King J et al.  ·  BMJ Open Qual  ·  03.08.2026  ·  PMID 42547244</w:t>
      </w:r>
    </w:p>
    <w:p>
      <w:r>
        <w:t>Systematische Übersicht über 30 Studien zum Zusammenhang zwischen Patientenerlebnis und Patientensicherheit, mit Cochrane-Qualitätsbewertung und GRADE-Evidenzgraduierung.</w:t>
      </w:r>
    </w:p>
    <w:p>
      <w:r>
        <w:rPr>
          <w:b/>
        </w:rPr>
        <w:t xml:space="preserve">Ergebnis: </w:t>
      </w:r>
      <w:r>
        <w:t>Heterogene Evidenz: 7 Studien zeigten konsistente positive Assoziationen, 6 keine Assoziation, 17 gemischte Befunde je nach Sicherheitsmaßstab. Kausale Richtung unklar; Forschungslücken in primärer und psychiatrischer Versorgung sowie zu Themen wie Zeitnaher Zugang und Angehörigenbeteiligung.</w:t>
      </w:r>
    </w:p>
    <w:p>
      <w:r>
        <w:rPr>
          <w:b/>
          <w:sz w:val="19"/>
        </w:rPr>
        <w:t xml:space="preserve">Übertragbarkeit: </w:t>
      </w:r>
      <w:r>
        <w:rPr>
          <w:sz w:val="19"/>
        </w:rPr>
        <w:t>Internationale Perspektive, Primärforschung überwiegend aus angelsächsischen Ländern</w:t>
      </w:r>
    </w:p>
    <w:p>
      <w:r>
        <w:rPr>
          <w:color w:val="5A7D3A"/>
          <w:sz w:val="18"/>
        </w:rPr>
        <w:t>https://pubmed.ncbi.nlm.nih.gov/42547244/</w:t>
      </w:r>
    </w:p>
    <w:p>
      <w:pPr>
        <w:pStyle w:val="Heading2"/>
      </w:pPr>
      <w:r>
        <w:t>Ärztliche Mikrobiologie als Stewardship-Partner senkt Antibiotikafehlgebrauch</w:t>
      </w:r>
    </w:p>
    <w:p>
      <w:r>
        <w:rPr>
          <w:i/>
          <w:color w:val="666666"/>
          <w:sz w:val="18"/>
        </w:rPr>
        <w:t>Nilsen E  ·  APMIS  ·  Aug. 2026  ·  PMID 42522544</w:t>
      </w:r>
    </w:p>
    <w:p>
      <w:r>
        <w:t>Norwegische Klinikstudie zur Wahrnehmung ärztlicher Beratung durch klinische Mikrobiologinnen und Mikrobiologen in der Infektionsbehandlung.</w:t>
      </w:r>
    </w:p>
    <w:p>
      <w:r>
        <w:rPr>
          <w:b/>
        </w:rPr>
        <w:t xml:space="preserve">Ergebnis: </w:t>
      </w:r>
      <w:r>
        <w:t>90,7 % der infektionsbehandelnden Ärztinnen und Ärzte (n=228) bewerteten mikrobiologe Stewardship als hochgradig wertvoll; 88,8 % berichteten bessere Antibiotikaverwendung, 87,0 % schnellere oder sicherere klinische Entscheidungen; 97,7 % befürworteten eine aktivere klinische Beratungsrolle von Fachärztinnen und Fachärzten für Mikrobiologie.</w:t>
      </w:r>
    </w:p>
    <w:p>
      <w:r>
        <w:rPr>
          <w:b/>
          <w:sz w:val="19"/>
        </w:rPr>
        <w:t xml:space="preserve">Übertragbarkeit: </w:t>
      </w:r>
      <w:r>
        <w:rPr>
          <w:sz w:val="19"/>
        </w:rPr>
        <w:t>Skandinavien, vergleichbare Infektionsbehandlung in Akutkrankenhäusern</w:t>
      </w:r>
    </w:p>
    <w:p>
      <w:r>
        <w:rPr>
          <w:color w:val="5A7D3A"/>
          <w:sz w:val="18"/>
        </w:rPr>
        <w:t>https://pubmed.ncbi.nlm.nih.gov/42522544/</w:t>
      </w:r>
    </w:p>
    <w:p>
      <w:pPr>
        <w:pStyle w:val="Heading2"/>
      </w:pPr>
      <w:r>
        <w:t>Schülerfehler im klinischen Unterricht: häufige Gelegenheiten mit geringem Lernertrag</w:t>
      </w:r>
    </w:p>
    <w:p>
      <w:r>
        <w:rPr>
          <w:i/>
          <w:color w:val="666666"/>
          <w:sz w:val="18"/>
        </w:rPr>
        <w:t>Rubisch HPK et al.  ·  BMC Med Educ  ·  28.07.2026  ·  PMID 42522036</w:t>
      </w:r>
    </w:p>
    <w:p>
      <w:r>
        <w:t>Beobachtungsstudie zu Lernfehlern bei Bettunterricht auf Stationen in Innerer Medizin, Neurologie und Orthopädie, gemessen an Häufigkeit, Typ und Lehrreaktionen.</w:t>
      </w:r>
    </w:p>
    <w:p>
      <w:r>
        <w:rPr>
          <w:b/>
        </w:rPr>
        <w:t xml:space="preserve">Ergebnis: </w:t>
      </w:r>
      <w:r>
        <w:t>Im Schnitt 4,9 Fehler pro Stunde Unterricht; Reproduktionsfehler überwiegend bei theoretischem Wissen und klinischem Denken, Anwendungsfehler bei körperlicher Untersuchung. Nur 72 % der praktischen Untersuchungszeit war beaufsichtigt; Lehrreaktionen (Erklärungstiefe, Feedback-Direktheit) unterschieden sich nicht signifikant mit oder ohne Patientenpräsenz.</w:t>
      </w:r>
    </w:p>
    <w:p>
      <w:r>
        <w:rPr>
          <w:b/>
          <w:sz w:val="19"/>
        </w:rPr>
        <w:t xml:space="preserve">Übertragbarkeit: </w:t>
      </w:r>
      <w:r>
        <w:rPr>
          <w:sz w:val="19"/>
        </w:rPr>
        <w:t>Deutschland, 36 Bettunterricht-Sitzungen (78,4 h) an deutschem Universitätsklinikum</w:t>
      </w:r>
    </w:p>
    <w:p>
      <w:r>
        <w:rPr>
          <w:color w:val="5A7D3A"/>
          <w:sz w:val="18"/>
        </w:rPr>
        <w:t>https://pubmed.ncbi.nlm.nih.gov/42522036/</w:t>
      </w:r>
    </w:p>
    <w:p>
      <w:pPr>
        <w:pStyle w:val="Heading1"/>
      </w:pPr>
      <w:r>
        <w:t>Aufgenommen am 31.08.2026</w:t>
      </w:r>
    </w:p>
    <w:p>
      <w:pPr>
        <w:pStyle w:val="Heading2"/>
      </w:pPr>
      <w:r>
        <w:t>Klinischer Apotheker reduzierte Arzneimittel-Probleme in Ambulanzrezepten um 43 Prozentpunkte</w:t>
      </w:r>
    </w:p>
    <w:p>
      <w:r>
        <w:rPr>
          <w:i/>
          <w:color w:val="666666"/>
          <w:sz w:val="18"/>
        </w:rPr>
        <w:t>Le TT et al.  ·  J Am Coll Clin Pharm  ·  Sept. 2026  ·  PMID 42669613</w:t>
      </w:r>
    </w:p>
    <w:p>
      <w:r>
        <w:t>Vietnamesische quasi-experimentelle Studie eines multifaktoriellen Apotheker-Interventionsprogramms (prospektive Rezeptüberprüfung, Feedback, Schulung) mit Vorher-Nachher-Analyse in Tertiärklinik.</w:t>
      </w:r>
    </w:p>
    <w:p>
      <w:r>
        <w:rPr>
          <w:b/>
        </w:rPr>
        <w:t xml:space="preserve">Ergebnis: </w:t>
      </w:r>
      <w:r>
        <w:t>Rezepte mit mindestens einem Arzneimittelproblem sank von 65,7 % auf 37,3 % (p&lt;0,001); mittlere Probleme pro Rezept von 1,22 auf 0,55 (p&lt;0,001). Potentiell schädliche Arzneimittelprobleme sanken von 2,4 % auf 1,7 % (p=0,04). Hauptreduktionen bei Dosis- und Einnahmezeitproblemen. Angepasste Odds Ratio 0,29 (95%-KI 0,26–0,32).</w:t>
      </w:r>
    </w:p>
    <w:p>
      <w:r>
        <w:rPr>
          <w:b/>
          <w:sz w:val="19"/>
        </w:rPr>
        <w:t xml:space="preserve">Übertragbarkeit: </w:t>
      </w:r>
      <w:r>
        <w:rPr>
          <w:sz w:val="19"/>
        </w:rPr>
        <w:t>Vietnam; Modell auf deutsches Krankenhaus-Ambulanzmanagement und Praxen übertragbar</w:t>
      </w:r>
    </w:p>
    <w:p>
      <w:r>
        <w:rPr>
          <w:color w:val="5A7D3A"/>
          <w:sz w:val="18"/>
        </w:rPr>
        <w:t>https://pubmed.ncbi.nlm.nih.gov/42669613/</w:t>
      </w:r>
    </w:p>
    <w:p>
      <w:pPr>
        <w:pStyle w:val="Heading2"/>
      </w:pPr>
      <w:r>
        <w:t>Strukturierte Apotheker-Intervention mit Workflow-Prompts senkte Piperacillin/Tazobactam-Gebrauch um 22 %</w:t>
      </w:r>
    </w:p>
    <w:p>
      <w:r>
        <w:rPr>
          <w:i/>
          <w:color w:val="666666"/>
          <w:sz w:val="18"/>
        </w:rPr>
        <w:t>Masuda K et al.  ·  Korean J Med Educ  ·  31.08.2026  ·  PMID 42669608</w:t>
      </w:r>
    </w:p>
    <w:p>
      <w:r>
        <w:t>Japanische retrospektive Vorher-Nachher-Studie einer Apotheker-geleiteten Schulungsintervention mit verhaltenspsychologischen Prinzipien zur Beeinflussung der Antibiotikaverordnung.</w:t>
      </w:r>
    </w:p>
    <w:p>
      <w:r>
        <w:rPr>
          <w:b/>
        </w:rPr>
        <w:t xml:space="preserve">Ergebnis: </w:t>
      </w:r>
      <w:r>
        <w:t>Piperacillin/Tazobactam-Gebrauch sank um 22,3 % in Days of Therapy (DOT) und zeigt konsistente Reduktionen bei saisonalen Vergleichen. Antibiotic Use Density (AUD) sank parallel. Alle Ärzte absolvierten Schulungsvideo und Nach-Test. Workflow-integrierte Reflexions-Prompts bei jedem Verordnen zeigten Wirkung.</w:t>
      </w:r>
    </w:p>
    <w:p>
      <w:r>
        <w:rPr>
          <w:b/>
          <w:sz w:val="19"/>
        </w:rPr>
        <w:t xml:space="preserve">Übertragbarkeit: </w:t>
      </w:r>
      <w:r>
        <w:rPr>
          <w:sz w:val="19"/>
        </w:rPr>
        <w:t>Japan, beobachtet auch in Deutschland (Antibiotic Stewardship), auf Praxen übertragbar</w:t>
      </w:r>
    </w:p>
    <w:p>
      <w:r>
        <w:rPr>
          <w:color w:val="5A7D3A"/>
          <w:sz w:val="18"/>
        </w:rPr>
        <w:t>https://pubmed.ncbi.nlm.nih.gov/42669608/</w:t>
      </w:r>
    </w:p>
    <w:p>
      <w:pPr>
        <w:pStyle w:val="Heading2"/>
      </w:pPr>
      <w:r>
        <w:t>DBS-Screening erfasst 56 % aller HCV-Infektionen, vermisst aber 2,7 % durch niedrige Viruslast</w:t>
      </w:r>
    </w:p>
    <w:p>
      <w:r>
        <w:rPr>
          <w:i/>
          <w:color w:val="666666"/>
          <w:sz w:val="18"/>
        </w:rPr>
        <w:t>Capelli N et al.  ·  Liver Int  ·  Okt. 2026  ·  PMID 42661472</w:t>
      </w:r>
    </w:p>
    <w:p>
      <w:r>
        <w:t>Fünfjährige Evaluierung von Hepatitis-C-Blutfleck-Screening in französischen Schadensreduktionszentren mit vergleichender Analyse zu Plasma-RNA-Konzentrationen.</w:t>
      </w:r>
    </w:p>
    <w:p>
      <w:r>
        <w:rPr>
          <w:b/>
        </w:rPr>
        <w:t xml:space="preserve">Ergebnis: </w:t>
      </w:r>
      <w:r>
        <w:t>Unter 1.552 gescreenten Personen wurden 428 (27,6 %) als HCV-RNA-positiv identifiziert. Etwa 2,7 % der Infektionen (ca. 12 Fälle) wurden aufgrund der Nachweisgrenze von 1.252 IU/mL vermisst. DBS-Tests machten 56,4 % aller laborgestützten HCV-Diagnosen aus. Die modeste Reduktion der analytischen Sensitivität wird durch den deutlich erhöhten Zugang in unterversorgten Populationen aufgewogen.</w:t>
      </w:r>
    </w:p>
    <w:p>
      <w:r>
        <w:rPr>
          <w:b/>
          <w:sz w:val="19"/>
        </w:rPr>
        <w:t xml:space="preserve">Übertragbarkeit: </w:t>
      </w:r>
      <w:r>
        <w:rPr>
          <w:sz w:val="19"/>
        </w:rPr>
        <w:t>Frankreich, dezentrale Diagnostik; Ansatz auf vulnerable Gruppen übertragbar</w:t>
      </w:r>
    </w:p>
    <w:p>
      <w:r>
        <w:rPr>
          <w:color w:val="5A7D3A"/>
          <w:sz w:val="18"/>
        </w:rPr>
        <w:t>https://pubmed.ncbi.nlm.nih.gov/42661472/</w:t>
      </w:r>
    </w:p>
    <w:p>
      <w:pPr>
        <w:pStyle w:val="Heading2"/>
      </w:pPr>
      <w:r>
        <w:t>Penicilline bei vancomycin-sensiblen Enterococcus-Bakteriämien: effektiv, aber keine Überlegenheit ohne Fokuskontrolle</w:t>
      </w:r>
    </w:p>
    <w:p>
      <w:r>
        <w:rPr>
          <w:i/>
          <w:color w:val="666666"/>
          <w:sz w:val="18"/>
        </w:rPr>
        <w:t>Landrock T et al.  ·  Transbound Emerg Dis  ·  2026  ·  PMID 42661338</w:t>
      </w:r>
    </w:p>
    <w:p>
      <w:r>
        <w:t>Retrospektive deutsche Kohortenstudie an 127 Patienten mit Enterococcus-Bakteriämie, Vergleich Penicillin-basierte versus alternative Therapien.</w:t>
      </w:r>
    </w:p>
    <w:p>
      <w:r>
        <w:rPr>
          <w:b/>
        </w:rPr>
        <w:t xml:space="preserve">Ergebnis: </w:t>
      </w:r>
      <w:r>
        <w:t>30-Tage-Mortalität: Penicilline 13,4 % vs. Alternativen 40 % (p=0,001); mediane Hospitalsdauer 21 vs. 35 Tage. Bei multivariater Analyse mit Propensity Scores war nur septischer Schock (aOR 23,53) unabhängig mit Sterblichkeit assoziiert, nicht die Therapieklasse. Keine Unterschiede bei Rezidivbakteriämie oder Nebenwirkungen.</w:t>
      </w:r>
    </w:p>
    <w:p>
      <w:r>
        <w:rPr>
          <w:b/>
          <w:sz w:val="19"/>
        </w:rPr>
        <w:t xml:space="preserve">Übertragbarkeit: </w:t>
      </w:r>
      <w:r>
        <w:rPr>
          <w:sz w:val="19"/>
        </w:rPr>
        <w:t>Deutschland/Österreich, direkt auf Krankenhausinfektion anwendbar</w:t>
      </w:r>
    </w:p>
    <w:p>
      <w:r>
        <w:rPr>
          <w:color w:val="5A7D3A"/>
          <w:sz w:val="18"/>
        </w:rPr>
        <w:t>https://pubmed.ncbi.nlm.nih.gov/42661338/</w:t>
      </w:r>
    </w:p>
    <w:p>
      <w:pPr>
        <w:pStyle w:val="Heading2"/>
      </w:pPr>
      <w:r>
        <w:t>Netzwerk-gestützte Sentinelüberwachung erkannte Clostridioides difficile 27 % schneller mit nur 15 % Sequenzierung</w:t>
      </w:r>
    </w:p>
    <w:p>
      <w:r>
        <w:rPr>
          <w:i/>
          <w:color w:val="666666"/>
          <w:sz w:val="18"/>
        </w:rPr>
        <w:t>Pople D et al.  ·  Nat Commun  ·  26.08.2026  ·  PMID 42649138</w:t>
      </w:r>
    </w:p>
    <w:p>
      <w:r>
        <w:t>Englische Studie mit Netzwerkanalyse zur optimalen Auswahl von Sentinel-Laboratorien für Whole-Genome-Sequenzierung nosokomialer Infektionen bei limitierter Sequenzierungskapazität.</w:t>
      </w:r>
    </w:p>
    <w:p>
      <w:r>
        <w:rPr>
          <w:b/>
        </w:rPr>
        <w:t xml:space="preserve">Ergebnis: </w:t>
      </w:r>
      <w:r>
        <w:t>Algorithmisch optimierte Sentinelstandorte erkennen neuartige C.-difficile-Stämme 27 % schneller als Zufallsauswahl (Median ~3 statt 4 Wochen), während nur &lt;15 % aller Fälle sequenziert werden. Sensitivitäts- und Szenario-Analysen bestätigten robuste epidemiologische Performance über verschiedene Pfadogeneigenschaften hinweg.</w:t>
      </w:r>
    </w:p>
    <w:p>
      <w:r>
        <w:rPr>
          <w:b/>
          <w:sz w:val="19"/>
        </w:rPr>
        <w:t xml:space="preserve">Übertragbarkeit: </w:t>
      </w:r>
      <w:r>
        <w:rPr>
          <w:sz w:val="19"/>
        </w:rPr>
        <w:t>Großbritannien, übertragbar auf deutsche KRINKO-gestützte Sentinel-Überwachung</w:t>
      </w:r>
    </w:p>
    <w:p>
      <w:r>
        <w:rPr>
          <w:color w:val="5A7D3A"/>
          <w:sz w:val="18"/>
        </w:rPr>
        <w:t>https://pubmed.ncbi.nlm.nih.gov/42649138/</w:t>
      </w:r>
    </w:p>
    <w:p>
      <w:pPr>
        <w:pStyle w:val="Heading2"/>
      </w:pPr>
      <w:r>
        <w:t>Delphi-Konsens: Prävention und Management iatrogener Nebenwirkungen von Immunglobulin-Therapie</w:t>
      </w:r>
    </w:p>
    <w:p>
      <w:r>
        <w:rPr>
          <w:i/>
          <w:color w:val="666666"/>
          <w:sz w:val="18"/>
        </w:rPr>
        <w:t>Ferranti-Ramos A et al.  ·  Front Immunol  ·  06.08.2026  ·  PMID 42625714</w:t>
      </w:r>
    </w:p>
    <w:p>
      <w:r>
        <w:t>Spanischer Expertenkonsens mit modifiziertem Delphi-Verfahren zur Standardisierung von Sicherheitsmaßnahmen bei Immunglobulin-Gaben in primären und sekundären Immundefekten.</w:t>
      </w:r>
    </w:p>
    <w:p>
      <w:r>
        <w:rPr>
          <w:b/>
        </w:rPr>
        <w:t xml:space="preserve">Ergebnis: </w:t>
      </w:r>
      <w:r>
        <w:t>42 von 44 Empfehlungen erreichten ≥75 % Konsens. Hochgradige Einigkeit zu individualisierter Risikoabwägung, Infusionsraten-Anpassung und frühes Nebenwirkungsmanagement. Subkutane Immunglobuline (SCIG) zeigten weniger systemische Reaktionen als intravenös. Serielle Anti-IgA-Tests nur bei selektierten Hochrisikopatienten nötig. Prämediktion nur bei ausgewählten Hochrisikogruppen.</w:t>
      </w:r>
    </w:p>
    <w:p>
      <w:r>
        <w:rPr>
          <w:b/>
          <w:sz w:val="19"/>
        </w:rPr>
        <w:t xml:space="preserve">Übertragbarkeit: </w:t>
      </w:r>
      <w:r>
        <w:rPr>
          <w:sz w:val="19"/>
        </w:rPr>
        <w:t>Spanien; europäisches System, auf deutsches Versicherungswesen übertragbar</w:t>
      </w:r>
    </w:p>
    <w:p>
      <w:r>
        <w:rPr>
          <w:color w:val="5A7D3A"/>
          <w:sz w:val="18"/>
        </w:rPr>
        <w:t>https://pubmed.ncbi.nlm.nih.gov/42625714/</w:t>
      </w:r>
    </w:p>
    <w:p>
      <w:pPr>
        <w:pStyle w:val="Heading2"/>
      </w:pPr>
      <w:r>
        <w:t>MT-RNR1-Testung vor Aminoglykosiden verhindert irreversible Hörstörungen, kosteneffektiv in Neonatensepsis</w:t>
      </w:r>
    </w:p>
    <w:p>
      <w:r>
        <w:rPr>
          <w:i/>
          <w:color w:val="666666"/>
          <w:sz w:val="18"/>
        </w:rPr>
        <w:t>McDermott JH et al.  ·  Br J Clin Pharmacol  ·  29.07.2026  ·  PMID 42524757</w:t>
      </w:r>
    </w:p>
    <w:p>
      <w:r>
        <w:t>Britische Richtlinie zum Einsatz präventiver Pharmacogenomics-Tests für Aminoglykosid-induzierte Ototoxizität anhand von Mitochondrial-DNA-Varianten, basierend auf systematischer Literaturanalyse.</w:t>
      </w:r>
    </w:p>
    <w:p>
      <w:r>
        <w:rPr>
          <w:b/>
        </w:rPr>
        <w:t xml:space="preserve">Ergebnis: </w:t>
      </w:r>
      <w:r>
        <w:t>Drei MT-RNR1-Varianten (m.1555A&gt;G, m.1494C&gt;T, m.1095T&gt;C; Frequenz ~1:330) prädisponieren zu irreversibler Hörschädigung auch bei therapeutischen Dosen. Im Englischen Nationalen Gesundheitssystem ist Labor-basierte Testung finanziert; Point-of-Care-Tests in Neonatensepsis werden durchgeführt und sind frühen Health-Economic-Modellen zufolge kostenersparend. Ca. 20 % des Aminoglykosidgebrauchs ist vorhersehbar und testbar.</w:t>
      </w:r>
    </w:p>
    <w:p>
      <w:r>
        <w:rPr>
          <w:b/>
          <w:sz w:val="19"/>
        </w:rPr>
        <w:t xml:space="preserve">Übertragbarkeit: </w:t>
      </w:r>
      <w:r>
        <w:rPr>
          <w:sz w:val="19"/>
        </w:rPr>
        <w:t>Großbritannien, Mitochondrial-DNA-Testung auf Deutschland übertragbar, Kosten-Nutzen-Analyse erforderlich</w:t>
      </w:r>
    </w:p>
    <w:p>
      <w:r>
        <w:rPr>
          <w:color w:val="5A7D3A"/>
          <w:sz w:val="18"/>
        </w:rPr>
        <w:t>https://pubmed.ncbi.nlm.nih.gov/42524757/</w:t>
      </w:r>
    </w:p>
    <w:p>
      <w:pPr>
        <w:pStyle w:val="Heading1"/>
      </w:pPr>
      <w:r>
        <w:t>Aufgenommen am 30.08.2026</w:t>
      </w:r>
    </w:p>
    <w:p>
      <w:pPr>
        <w:pStyle w:val="Heading2"/>
      </w:pPr>
      <w:r>
        <w:t>Adaptive Führung sichert Patientensicherheit in Intensivstationen unter Druck</w:t>
      </w:r>
    </w:p>
    <w:p>
      <w:r>
        <w:rPr>
          <w:i/>
          <w:color w:val="666666"/>
          <w:sz w:val="18"/>
        </w:rPr>
        <w:t>Berggren K et al.  ·  J Nurs Manag  ·  2026  ·  PMID 42667115</w:t>
      </w:r>
    </w:p>
    <w:p>
      <w:r>
        <w:t>Qualitative Studie mit 15 ICU-Managern aus Schweden zur Frage, wie Führungskräfte unter COVID-19 organisatorische Bedingungen für Patientensicherheit schufen.</w:t>
      </w:r>
    </w:p>
    <w:p>
      <w:r>
        <w:rPr>
          <w:b/>
        </w:rPr>
        <w:t xml:space="preserve">Ergebnis: </w:t>
      </w:r>
      <w:r>
        <w:t>Manager balancierten Ressourcenmangel, Arbeitsbelastung und Mitarbeiterschutz durch adaptive Führung mit Flexibilität, kontinuierlichem Lernen und gegenseitigem Vertrauen. Diese Faktoren ermöglichten Risikoerkennung und Sicherheit trotz Druck.</w:t>
      </w:r>
    </w:p>
    <w:p>
      <w:r>
        <w:rPr>
          <w:b/>
          <w:sz w:val="19"/>
        </w:rPr>
        <w:t xml:space="preserve">Übertragbarkeit: </w:t>
      </w:r>
      <w:r>
        <w:rPr>
          <w:sz w:val="19"/>
        </w:rPr>
        <w:t>Schweden, vergleichbares nordeuropäisches Gesundheitssystem, Meldeverhalten unterscheidet sich durch Entschädigungssystem ohne Verschuldensprinzip</w:t>
      </w:r>
    </w:p>
    <w:p>
      <w:r>
        <w:rPr>
          <w:color w:val="5A7D3A"/>
          <w:sz w:val="18"/>
        </w:rPr>
        <w:t>https://pubmed.ncbi.nlm.nih.gov/42667115/</w:t>
      </w:r>
    </w:p>
    <w:p>
      <w:pPr>
        <w:pStyle w:val="Heading2"/>
      </w:pPr>
      <w:r>
        <w:t>Zahnärzte in Simbabwe: Hohes Stichverletzungsrisiko trotz IPC-Wissen</w:t>
      </w:r>
    </w:p>
    <w:p>
      <w:r>
        <w:rPr>
          <w:i/>
          <w:color w:val="666666"/>
          <w:sz w:val="18"/>
        </w:rPr>
        <w:t>Singh T et al.  ·  Front Public Health  ·  14.08.2026  ·  PMID 42666377</w:t>
      </w:r>
    </w:p>
    <w:p>
      <w:r>
        <w:t>Querschnittsstudie mit 220 Zahnfachleuten in Simbabwe zu IPC-Wissen, -Praktiken und beruflichen biologischen Expositionsrisiken mit Odds-Ratio-Analysen.</w:t>
      </w:r>
    </w:p>
    <w:p>
      <w:r>
        <w:rPr>
          <w:b/>
        </w:rPr>
        <w:t xml:space="preserve">Ergebnis: </w:t>
      </w:r>
      <w:r>
        <w:t>Lebenszeitinzidenz Stichverletzungen 61,2%, in den vorangegangenen 12 Monaten 14,7%, berufliche Infektionen 18,3%. Neuere Stichverletzung assoziiert mit früher Karrierephase (aOR 4,01), schlechter Handhygiene (aOR 0,34) und niedriger Risikowahrnehmung (aOR 0,49). Öffentliche Arbeit assoziiert mit Berufsinfektionen (aOR 2,66).</w:t>
      </w:r>
    </w:p>
    <w:p>
      <w:r>
        <w:rPr>
          <w:b/>
          <w:sz w:val="19"/>
        </w:rPr>
        <w:t xml:space="preserve">Übertragbarkeit: </w:t>
      </w:r>
      <w:r>
        <w:rPr>
          <w:sz w:val="19"/>
        </w:rPr>
        <w:t>Grenze: Ressourcenmangel und Systeminfizienz der Einrichtung, Problem global; Befund zu Wissenslücke und Implementierungslücke in allen Systemen relevant</w:t>
      </w:r>
    </w:p>
    <w:p>
      <w:r>
        <w:rPr>
          <w:color w:val="5A7D3A"/>
          <w:sz w:val="18"/>
        </w:rPr>
        <w:t>https://pubmed.ncbi.nlm.nih.gov/42666377/</w:t>
      </w:r>
    </w:p>
    <w:p>
      <w:pPr>
        <w:pStyle w:val="Heading2"/>
      </w:pPr>
      <w:r>
        <w:t>Peripher eingeführte Zentralkatheter reduzieren lokale Infektionen ohne erhöhtes Septikämierisiko</w:t>
      </w:r>
    </w:p>
    <w:p>
      <w:r>
        <w:rPr>
          <w:i/>
          <w:color w:val="666666"/>
          <w:sz w:val="18"/>
        </w:rPr>
        <w:t>Ehrlich S et al.  ·  Support Care Cancer  ·  28.08.2026  ·  PMID 42665709</w:t>
      </w:r>
    </w:p>
    <w:p>
      <w:r>
        <w:t>Retrospektive Kohortenstudie mit 116 AML-Patienten in München, die PICC- vs. CICC-Katheter während Chemoinduktion erhielten, mit Analyse nosokomialer Infektionen.</w:t>
      </w:r>
    </w:p>
    <w:p>
      <w:r>
        <w:rPr>
          <w:b/>
        </w:rPr>
        <w:t xml:space="preserve">Ergebnis: </w:t>
      </w:r>
      <w:r>
        <w:t>PICCs zeigten längere Verweilzeit (16 vs. 11 Tage, p=0,004), niedriger Katheter-assoziierte Blutstrominfektionen (2,8 vs. 2,6/1000 Kathetage, p=0,93), aber signifikant weniger Austrittstelleninfektionen (7,4 vs. 23,1/1000 Kathetage, p=0,01). Keine erhöhte Thromboserisiko.</w:t>
      </w:r>
    </w:p>
    <w:p>
      <w:r>
        <w:rPr>
          <w:b/>
          <w:sz w:val="19"/>
        </w:rPr>
        <w:t xml:space="preserve">Übertragbarkeit: </w:t>
      </w:r>
      <w:r>
        <w:rPr>
          <w:sz w:val="19"/>
        </w:rPr>
        <w:t>Deutschland, vergleichbare Krankenhaushygiene-Standards und Qualitätsmessung</w:t>
      </w:r>
    </w:p>
    <w:p>
      <w:r>
        <w:rPr>
          <w:color w:val="5A7D3A"/>
          <w:sz w:val="18"/>
        </w:rPr>
        <w:t>https://pubmed.ncbi.nlm.nih.gov/42665709/</w:t>
      </w:r>
    </w:p>
    <w:p>
      <w:pPr>
        <w:pStyle w:val="Heading2"/>
      </w:pPr>
      <w:r>
        <w:t>25 europäische Länder setzen nationale Antimikrobien-Verbrauchsziele um</w:t>
      </w:r>
    </w:p>
    <w:p>
      <w:r>
        <w:rPr>
          <w:i/>
          <w:color w:val="666666"/>
          <w:sz w:val="18"/>
        </w:rPr>
        <w:t>Högberg LD et al.  ·  Euro Surveill  ·  Aug. 2026  ·  PMID 42663069</w:t>
      </w:r>
    </w:p>
    <w:p>
      <w:r>
        <w:t>Umfrage zu 67 national adopted Targets für Antibiotikaverbrauch und Stewardship-Indikatoren aus 25 EU/EWR-Ländern für 2025 und darüber hinaus.</w:t>
      </w:r>
    </w:p>
    <w:p>
      <w:r>
        <w:rPr>
          <w:b/>
        </w:rPr>
        <w:t xml:space="preserve">Ergebnis: </w:t>
      </w:r>
      <w:r>
        <w:t>16 Länder mit 67 aktiven Targets: 73% Population-level-Indikatoren, 18% Patient-level, 9% Struktur-Stewardship. Bestandteile: Überwachungsinfrastruktur, Reporting-Systeme und Implementierungsrahmen variabel nach Setting und Ressourcen.</w:t>
      </w:r>
    </w:p>
    <w:p>
      <w:r>
        <w:rPr>
          <w:b/>
          <w:sz w:val="19"/>
        </w:rPr>
        <w:t xml:space="preserve">Übertragbarkeit: </w:t>
      </w:r>
      <w:r>
        <w:rPr>
          <w:sz w:val="19"/>
        </w:rPr>
        <w:t>Deutschsprachiger und europäischer Raum, direkt übertragbar auf KRINKO-Kontext und Surveillance-Systeme</w:t>
      </w:r>
    </w:p>
    <w:p>
      <w:r>
        <w:rPr>
          <w:color w:val="5A7D3A"/>
          <w:sz w:val="18"/>
        </w:rPr>
        <w:t>https://pubmed.ncbi.nlm.nih.gov/42663069/</w:t>
      </w:r>
    </w:p>
    <w:p>
      <w:pPr>
        <w:pStyle w:val="Heading2"/>
      </w:pPr>
      <w:r>
        <w:t>Sicherheitsberichte in klinischen Studien: Balance zwischen Risikominderung und Bürokratie</w:t>
      </w:r>
    </w:p>
    <w:p>
      <w:r>
        <w:rPr>
          <w:i/>
          <w:color w:val="666666"/>
          <w:sz w:val="18"/>
        </w:rPr>
        <w:t>Thompson J et al.  ·  PLoS One  ·  30.07.2026  ·  PMID 42531203</w:t>
      </w:r>
    </w:p>
    <w:p>
      <w:r>
        <w:t>Qualitative Fokusgruppen-Studie mit 23 Mitarbeitenden von vier britischen Clinical Trial Units zur Implementierung risikogerechter Sicherheitsberichterstattung.</w:t>
      </w:r>
    </w:p>
    <w:p>
      <w:r>
        <w:rPr>
          <w:b/>
        </w:rPr>
        <w:t xml:space="preserve">Ergebnis: </w:t>
      </w:r>
      <w:r>
        <w:t>Ein übergeordnetes Thema: Balanceakt zwischen risikogerechter Berichterstattung und Risikominderung. Personal fühlt sich unsicher in Entscheidungen. Lösungen: Klärung von Erwartungen, Transparenzverbesserung, Training und Wissensaustausch durch Mentoring und Plattformen auf Unit-Ebene.</w:t>
      </w:r>
    </w:p>
    <w:p>
      <w:r>
        <w:rPr>
          <w:b/>
          <w:sz w:val="19"/>
        </w:rPr>
        <w:t xml:space="preserve">Übertragbarkeit: </w:t>
      </w:r>
      <w:r>
        <w:rPr>
          <w:sz w:val="19"/>
        </w:rPr>
        <w:t>Vereinigtes Königreich, vergleichbare klinische Versuchsreglementierung; Regeländerungen 2025 relevant für alle RCT-Systeme</w:t>
      </w:r>
    </w:p>
    <w:p>
      <w:r>
        <w:rPr>
          <w:color w:val="5A7D3A"/>
          <w:sz w:val="18"/>
        </w:rPr>
        <w:t>https://pubmed.ncbi.nlm.nih.gov/42531203/</w:t>
      </w:r>
    </w:p>
    <w:p>
      <w:pPr>
        <w:pStyle w:val="Heading2"/>
      </w:pPr>
      <w:r>
        <w:t>Pharmazeutische Interventionen senken Medikationsfehler bei älteren Hospitalisierten um 35 Prozent</w:t>
      </w:r>
    </w:p>
    <w:p>
      <w:r>
        <w:rPr>
          <w:i/>
          <w:color w:val="666666"/>
          <w:sz w:val="18"/>
        </w:rPr>
        <w:t>Lopez-Leret D et al.  ·  Pharmazie  ·  24.07.2026  ·  PMID 42530075</w:t>
      </w:r>
    </w:p>
    <w:p>
      <w:r>
        <w:t>Retrospektive Analyse von 12.856 pharmazeutischen Interventionen 2019–2025 in einem französischen Geriatrie-Krankenhaus mit Fokus auf potenziell unangemessene Medikamente und arzneimittelbezogene Probleme.</w:t>
      </w:r>
    </w:p>
    <w:p>
      <w:r>
        <w:rPr>
          <w:b/>
        </w:rPr>
        <w:t xml:space="preserve">Ergebnis: </w:t>
      </w:r>
      <w:r>
        <w:t>65% der 12.856 Interventionen wurden von Verschreibern akzeptiert. Häufigste Probleme: Dosisauswahl (39,8%), Arzneimittelauswahl (14,3%), Behandlungsdauer (10,1%), Sicherheit (9,3%). Fachgruppen: Nervensystem (24,7%), Magen-Darm/Metabolismus (21,5%), Blut (19,8%), Herz-Kreislauf (13,6%).</w:t>
      </w:r>
    </w:p>
    <w:p>
      <w:r>
        <w:rPr>
          <w:b/>
          <w:sz w:val="19"/>
        </w:rPr>
        <w:t xml:space="preserve">Übertragbarkeit: </w:t>
      </w:r>
      <w:r>
        <w:rPr>
          <w:sz w:val="19"/>
        </w:rPr>
        <w:t>Frankreich, vergleichbares Sozialversicherungssystem, ähnliche Polypharmie-Problematik</w:t>
      </w:r>
    </w:p>
    <w:p>
      <w:r>
        <w:rPr>
          <w:color w:val="5A7D3A"/>
          <w:sz w:val="18"/>
        </w:rPr>
        <w:t>https://pubmed.ncbi.nlm.nih.gov/42530075/</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2026-10-01T06:00:00Z</dcterms:created>
  <dcterms:modified xsi:type="dcterms:W3CDTF">2026-10-01T06:00:00Z</dcterms:modified>
  <cp:category/>
</cp:coreProperties>
</file>