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737360" cy="459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f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459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51A1"/>
          <w:sz w:val="19"/>
        </w:rPr>
        <w:t>Ein Service des Knowledge-Hubs von Monitor Versorgungsforschung. Täglich automatisiert KI-kuratiert aus PubMed und auf Deutsch übersetzt.</w:t>
      </w:r>
    </w:p>
    <w:p>
      <w:pPr>
        <w:pStyle w:val="Title"/>
      </w:pPr>
      <w:r>
        <w:t>Neueste Studien - Patientensicherheit</w:t>
      </w:r>
    </w:p>
    <w:p>
      <w:r>
        <w:rPr>
          <w:i/>
          <w:color w:val="666666"/>
          <w:sz w:val="18"/>
        </w:rPr>
        <w:t>Stand: 15.10.2026  |  6 Studien  |  safety.m-vf.de</w:t>
      </w:r>
    </w:p>
    <w:p>
      <w:pPr>
        <w:pStyle w:val="Heading1"/>
      </w:pPr>
      <w:r>
        <w:t>Aufgenommen am 15.10.2026</w:t>
      </w:r>
    </w:p>
    <w:p>
      <w:pPr>
        <w:pStyle w:val="Heading2"/>
      </w:pPr>
      <w:r>
        <w:t>Aktive Surveillance für Carbapenem-resistente Erreger senkte Intensiv-Mortalität, nicht aber Infektionsrate</w:t>
      </w:r>
    </w:p>
    <w:p>
      <w:r>
        <w:rPr>
          <w:i/>
          <w:color w:val="666666"/>
          <w:sz w:val="18"/>
        </w:rPr>
        <w:t>Kou H et al.  ·  Zhonghua Wei Zhong Bing Ji Jiu Yi Xue  ·  Sept. 2026  ·  PMID 42875236</w:t>
      </w:r>
    </w:p>
    <w:p>
      <w:r>
        <w:t>Prospektive Interventionsstudie verglich aktive Überwachung auf Carbapenem-resistente Organismen (mit Kontaktisolation) gegen Routinetestung in ICU-Patienten anhand von 954 Fällen mit Propensity-Score-Matching.</w:t>
      </w:r>
    </w:p>
    <w:p>
      <w:r>
        <w:rPr>
          <w:b/>
        </w:rPr>
        <w:t xml:space="preserve">Ergebnis: </w:t>
      </w:r>
      <w:r>
        <w:t>Carbapenem-resistente Infektionsrate unterschied sich nicht signifikant (2,3% vs. 2,5%, p &gt; 0,05). Aber aktive Surveillance senkte ICU-Mortalität (2,1% vs. 4,6%, p &lt; 0,05), Therapieabbruchrate (8,6% vs. 18,0%, p &lt; 0,05) und erhöhte Besserungsrate (89,3% vs. 77,4%, p &lt; 0,05).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China, aber Effekt unabhängig von Ressourcenlage; Prinzip auf deutsches Hygienemanagement übertragbar</w:t>
      </w:r>
    </w:p>
    <w:p>
      <w:r>
        <w:rPr>
          <w:color w:val="5A7D3A"/>
          <w:sz w:val="18"/>
        </w:rPr>
        <w:t>https://pubmed.ncbi.nlm.nih.gov/42875236/</w:t>
      </w:r>
    </w:p>
    <w:p>
      <w:pPr>
        <w:pStyle w:val="Heading2"/>
      </w:pPr>
      <w:r>
        <w:t>FDA-Meldungen zu Medizingeräteschäden: 55% nicht fristgerecht, 7% deutliche Untererfassung</w:t>
      </w:r>
    </w:p>
    <w:p>
      <w:r>
        <w:rPr>
          <w:i/>
          <w:color w:val="666666"/>
          <w:sz w:val="18"/>
        </w:rPr>
        <w:t>Zhou A et al.  ·  BMJ  ·  14.10.2026  ·  PMID 42875046</w:t>
      </w:r>
    </w:p>
    <w:p>
      <w:r>
        <w:t>Querschnittsanalyse aller Zusammenfassungs-Meldungen von 2019–2025 in der FDA-MAUDE-Datenbank auf Vollständigkeit, Genauigkeit und Einhaltung von Meldepflichten; 6.308 Berichte mit 159.503 Ereignissen.</w:t>
      </w:r>
    </w:p>
    <w:p>
      <w:r>
        <w:rPr>
          <w:b/>
        </w:rPr>
        <w:t xml:space="preserve">Ergebnis: </w:t>
      </w:r>
      <w:r>
        <w:t>57% der Berichte nannten kein spezifisches Geräteproblem. Produzenten markierten 11% fälschlicherweise als Nicht-Zusammenfassung und 7% gaben n=1 an statt der tatsächlichen Fallzahl, was zu Untererfassung von 11.902 Ereignissen führte. 55% der Berichte überschritten die 30-Tage-Frist für FDA-Meldung.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USA-Kontext, aber Fehlermustern in Meldesystemen sind systemübergreifend relevant</w:t>
      </w:r>
    </w:p>
    <w:p>
      <w:r>
        <w:rPr>
          <w:color w:val="5A7D3A"/>
          <w:sz w:val="18"/>
        </w:rPr>
        <w:t>https://pubmed.ncbi.nlm.nih.gov/42875046/</w:t>
      </w:r>
    </w:p>
    <w:p>
      <w:pPr>
        <w:pStyle w:val="Heading2"/>
      </w:pPr>
      <w:r>
        <w:t>CRP-Albumin-Verlauf in früher Sepsis: Ansteigender Phänotyp mit 1,94-fach höherem 28-Tage-Mortalitätsrisiko</w:t>
      </w:r>
    </w:p>
    <w:p>
      <w:r>
        <w:rPr>
          <w:i/>
          <w:color w:val="666666"/>
          <w:sz w:val="18"/>
        </w:rPr>
        <w:t>Chen T et al.  ·  J Cell Mol Med  ·  Okt. 2026  ·  PMID 42872518</w:t>
      </w:r>
    </w:p>
    <w:p>
      <w:r>
        <w:t>Retrospektive Beobachtungsstudie mit Auswertung der gemeinsamen Verlaufsmuster von CRP und Albumin an ICU-Tagen 1, 3, 5, 7 und 14 bei 462 Sepsispatienten mittels Group-Based Dual-Trajectory-Modellierung.</w:t>
      </w:r>
    </w:p>
    <w:p>
      <w:r>
        <w:rPr>
          <w:b/>
        </w:rPr>
        <w:t xml:space="preserve">Ergebnis: </w:t>
      </w:r>
      <w:r>
        <w:t>Drei Phänotypen identifiziert: langsam fallend (79,65%), schnell fallend (10,39%), ansteigend (9,96%). 28-Tage-Mortalität war in der Anstiegsgruppe am höchsten (52,2% vs. 32,6–33,3%, log-rank p = 0,034). Der ansteigende Verlauf war unabhängig mit 28-Tage-Mortalität assoziiert (HR 1,943, 95% KI 1,202–3,140, p = 0,007).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China, aber Biomarker-Trajektorien und Sepsis-Phänotypisierung international vergleichbar</w:t>
      </w:r>
    </w:p>
    <w:p>
      <w:r>
        <w:rPr>
          <w:color w:val="5A7D3A"/>
          <w:sz w:val="18"/>
        </w:rPr>
        <w:t>https://pubmed.ncbi.nlm.nih.gov/42872518/</w:t>
      </w:r>
    </w:p>
    <w:p>
      <w:pPr>
        <w:pStyle w:val="Heading2"/>
      </w:pPr>
      <w:r>
        <w:t>Candida auris auf ICU-Flächen: SpO2-Sonden, Bettzubehör und Wagen als Persistenzorte</w:t>
      </w:r>
    </w:p>
    <w:p>
      <w:r>
        <w:rPr>
          <w:i/>
          <w:color w:val="666666"/>
          <w:sz w:val="18"/>
        </w:rPr>
        <w:t>Wang H et al.  ·  Front Cell Infect Microbiol  ·  29.09.2026  ·  PMID 42870986</w:t>
      </w:r>
    </w:p>
    <w:p>
      <w:r>
        <w:t>Retrospektive Analyse von Umgebungskulturen während fünf Candida-auris-Cluster-Reaktionen auf chirurgischen und medizinischen Intensivstationen in China; standardisierte Kategorisierung von 177 Proben.</w:t>
      </w:r>
    </w:p>
    <w:p>
      <w:r>
        <w:rPr>
          <w:b/>
        </w:rPr>
        <w:t xml:space="preserve">Ergebnis: </w:t>
      </w:r>
      <w:r>
        <w:t>9 von 177 Proben (5,1%) waren C.-auris-positiv. Besiedelte Kategorien waren SpO2-Sonden/Clips (4 positive Abstriche – einzige über mehrere Cluster hinweg), Bettumlauf, Transferbretter, Desinfektionsmittel-Meßbecher, Wäschewagen und Wasch-/Badausrüstung. Jede lokal positive Kategorie war in der Fachliteratur dokumentiert.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China, aber Oberflächenkategorien und Infektionsprävention auf deutsche ICU-Standards übertragbar</w:t>
      </w:r>
    </w:p>
    <w:p>
      <w:r>
        <w:rPr>
          <w:color w:val="5A7D3A"/>
          <w:sz w:val="18"/>
        </w:rPr>
        <w:t>https://pubmed.ncbi.nlm.nih.gov/42870986/</w:t>
      </w:r>
    </w:p>
    <w:p>
      <w:pPr>
        <w:pStyle w:val="Heading2"/>
      </w:pPr>
      <w:r>
        <w:t>Krankenhausinfektionen in Golfstaaten: 8,5% Prävalenz in Tertiärkliniken</w:t>
      </w:r>
    </w:p>
    <w:p>
      <w:r>
        <w:rPr>
          <w:i/>
          <w:color w:val="666666"/>
          <w:sz w:val="18"/>
        </w:rPr>
        <w:t>Alshamrani MM et al.  ·  Epidemiol Infect  ·  14.10.2026  ·  PMID 42870570</w:t>
      </w:r>
    </w:p>
    <w:p>
      <w:r>
        <w:t>Eine Punkt-Prävalenz-Umfrage an 18 Tertiärkliniken in sechs Golfstaaten ermittelte die Häufigkeit nosokomialer Infektionen und deren Erreger.</w:t>
      </w:r>
    </w:p>
    <w:p>
      <w:r>
        <w:rPr>
          <w:b/>
        </w:rPr>
        <w:t xml:space="preserve">Ergebnis: </w:t>
      </w:r>
      <w:r>
        <w:t>8,5% (95% KI 7,8–9,2%) der 6.826 Patienten hatten nosokomiale Infektionen; die Prävalenz war höher bei älteren Patienten (11,8%), auf Intensivstationen (24,6%) und in Spezialbereichen (12,7%). Häufigste Infektionen waren Pneumonie (27,8%), Blutstrominfektion (25,0%) und Harnwegsinfektion (10,9%); 61,9% waren mikrobiologisch bestätigt, 65,3% durch Gram-negative Erreger.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Vergleichbare Infrastruktur und Keimspektrum mit deutschem Gesundheitswesen relevant</w:t>
      </w:r>
    </w:p>
    <w:p>
      <w:r>
        <w:rPr>
          <w:color w:val="5A7D3A"/>
          <w:sz w:val="18"/>
        </w:rPr>
        <w:t>https://pubmed.ncbi.nlm.nih.gov/42870570/</w:t>
      </w:r>
    </w:p>
    <w:p>
      <w:pPr>
        <w:pStyle w:val="Heading2"/>
      </w:pPr>
      <w:r>
        <w:t>Intraoperative Schnelldiagnose von Knocheninfektionen: Frozen-section-Analyse und Fluoreszenz-Bildgebung</w:t>
      </w:r>
    </w:p>
    <w:p>
      <w:r>
        <w:rPr>
          <w:i/>
          <w:color w:val="666666"/>
          <w:sz w:val="18"/>
        </w:rPr>
        <w:t>Bessems L et al.  ·  Injury  ·  05.09.2026  ·  PMID 42721568</w:t>
      </w:r>
    </w:p>
    <w:p>
      <w:r>
        <w:t>Systematische Übersichtsarbeit zu intraoperativen Verfahren zur Echtzeitdiagnose von Fraktur-assoziierten Infektionen, um Behandlung während der Operation zu steuern.</w:t>
      </w:r>
    </w:p>
    <w:p>
      <w:r>
        <w:rPr>
          <w:b/>
        </w:rPr>
        <w:t xml:space="preserve">Ergebnis: </w:t>
      </w:r>
      <w:r>
        <w:t>7 Studien analysiert: Gefrorenschnitt-Analyse zeigte variable Sensitivität (0–88%) und Spezifität (96%) je nach klinischem Kontext. Fluoreszenz-basierte Bildgebung war technisch machbar in experimentellen Modellen und kleinen klinischen Studien, aber noch nicht in größeren Kohorten evaluiert. Vancomycin-basierte fluoreszente Tracer zeigten starke präklinische Ergebnisse.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Europäisches Setting (Belgien, Niederlande, Deutschland), methodische Vergleichbarkeit mit deutschem Trauma-Management</w:t>
      </w:r>
    </w:p>
    <w:p>
      <w:r>
        <w:rPr>
          <w:color w:val="5A7D3A"/>
          <w:sz w:val="18"/>
        </w:rPr>
        <w:t>https://pubmed.ncbi.nlm.nih.gov/42721568/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Neueste Studien - Patientensicherheit</dc:title>
  <dc:subject/>
  <dc:creator>Monitor Versorgungsforschung</dc:creator>
  <cp:keywords/>
  <dc:description>generated by python-docx</dc:description>
  <cp:lastModifiedBy/>
  <cp:revision>1</cp:revision>
  <dcterms:created xsi:type="dcterms:W3CDTF">2026-10-15T06:00:00Z</dcterms:created>
  <dcterms:modified xsi:type="dcterms:W3CDTF">2026-10-15T06:00:00Z</dcterms:modified>
  <cp:category/>
</cp:coreProperties>
</file>