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Patientensicherheit</w:t>
      </w:r>
    </w:p>
    <w:p>
      <w:r>
        <w:rPr>
          <w:i/>
          <w:color w:val="666666"/>
          <w:sz w:val="18"/>
        </w:rPr>
        <w:t>Stand: 26.10.2026  |  6 Studien  |  safety.m-vf.de</w:t>
      </w:r>
    </w:p>
    <w:p>
      <w:pPr>
        <w:pStyle w:val="Heading1"/>
      </w:pPr>
      <w:r>
        <w:t>Aufgenommen am 26.10.2026</w:t>
      </w:r>
    </w:p>
    <w:p>
      <w:pPr>
        <w:pStyle w:val="Heading2"/>
      </w:pPr>
      <w:r>
        <w:t>Infektionspräventions-Bundles auf Intensivstationen senken nosokomiale Infektionen um bis zu 63 %</w:t>
      </w:r>
    </w:p>
    <w:p>
      <w:r>
        <w:rPr>
          <w:i/>
          <w:color w:val="666666"/>
          <w:sz w:val="18"/>
        </w:rPr>
        <w:t>Ageel MA et al.  ·  Clin Ter  ·  Nov. 2026  ·  PMID 42922243</w:t>
      </w:r>
    </w:p>
    <w:p>
      <w:r>
        <w:t>Systematische Übersicht von 17 Studien zu Qualitätsverbesserungsmaßnahmen gegen Krankenhausinfektionen bei neurochirurgischen ICU-Patienten, mit Fokus auf Device-assoziierte Infektionen.</w:t>
      </w:r>
    </w:p>
    <w:p>
      <w:r>
        <w:rPr>
          <w:b/>
        </w:rPr>
        <w:t xml:space="preserve">Ergebnis: </w:t>
      </w:r>
      <w:r>
        <w:t>EVD-spezifische Care-Bundles senkten EVD-assoziierte Infektionen von 14,35 auf 3,21 pro 1.000 Kathetertage (77 % Reduktion). VAP-Raten sanken von 68,2 auf 47,4 pro 1.000 Beatmungstage, CAUTI von 24,9 auf 13,4 pro 1.000 Kathetertage. Eine Studie meldete 20 aufeinanderfolgende infektionsfreie Monate. CLABSI-Raten erreichten null in einer Studie mit kontinuierlichem Monitoring.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Studien aus 14 Ländern, überwiegend standardisierte Protokolle, auf deutsche Strukturen übertragbar</w:t>
      </w:r>
    </w:p>
    <w:p>
      <w:r>
        <w:rPr>
          <w:color w:val="5A7D3A"/>
          <w:sz w:val="18"/>
        </w:rPr>
        <w:t>https://pubmed.ncbi.nlm.nih.gov/42922243/</w:t>
      </w:r>
    </w:p>
    <w:p>
      <w:pPr>
        <w:pStyle w:val="Heading2"/>
      </w:pPr>
      <w:r>
        <w:t>Infektionsprävention in Psychiatrien: Multidisziplinäre Intervention senkt MRSA und CRPA</w:t>
      </w:r>
    </w:p>
    <w:p>
      <w:r>
        <w:rPr>
          <w:i/>
          <w:color w:val="666666"/>
          <w:sz w:val="18"/>
        </w:rPr>
        <w:t>Du J et al.  ·  Front Cell Infect Microbiol  ·  09.10.2026  ·  PMID 42920550</w:t>
      </w:r>
    </w:p>
    <w:p>
      <w:r>
        <w:t>Entwicklung und Anwendung des MISCP-S-Modells (Multidisziplinäre Zusammenarbeit, Informatisierung, Staffelschulung, Anreize, Prozessoptimierung) in einer psychiatrischen Tertiärklinik mit Vergleich von 1343 Fällen vorher und 677 nachher.</w:t>
      </w:r>
    </w:p>
    <w:p>
      <w:r>
        <w:rPr>
          <w:b/>
        </w:rPr>
        <w:t xml:space="preserve">Ergebnis: </w:t>
      </w:r>
      <w:r>
        <w:t>Pathogendetektions-Beprobungsrate stieg von 69,47 % auf 98,38 %. Testangemessenheit: 100 %. Therapeutische Antibiotikaverwendung sank von 16,03 % auf 14,61 %. Multidrug-resistente Organismen (MDRO) sanken von 37,44 % auf 33,74 %. MRSA-Nachweise sanken, ebenso carbapenem-resistente Pseudomonas aeruginosa. Carbapenem-resistente Enterobacterales stiegen von 14,35 % auf 23,56 %.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psychiatrische Spezialisierung; zeigt Potenzial für adaptierte Stewardship-Modelle</w:t>
      </w:r>
    </w:p>
    <w:p>
      <w:r>
        <w:rPr>
          <w:color w:val="5A7D3A"/>
          <w:sz w:val="18"/>
        </w:rPr>
        <w:t>https://pubmed.ncbi.nlm.nih.gov/42920550/</w:t>
      </w:r>
    </w:p>
    <w:p>
      <w:pPr>
        <w:pStyle w:val="Heading2"/>
      </w:pPr>
      <w:r>
        <w:t>Strukturiertes AMR-Surveillance stärkt Stewardship-Wissen und Praxis in Krankenhäusern Malawis</w:t>
      </w:r>
    </w:p>
    <w:p>
      <w:r>
        <w:rPr>
          <w:i/>
          <w:color w:val="666666"/>
          <w:sz w:val="18"/>
        </w:rPr>
        <w:t>Matemvu Z et al.  ·  Antimicrob Resist Infect Control  ·  27.07.2026  ·  PMID 42920193</w:t>
      </w:r>
    </w:p>
    <w:p>
      <w:r>
        <w:t>Quasi-experimentale Evaluierung einer dreijährigen AMR-Überwachungs- und Kapazitätsaufbau-Intervention an einem Tertiärkrankenhaus in Malawi mit Assessments von Fachkräften und Patientenaktenreview.</w:t>
      </w:r>
    </w:p>
    <w:p>
      <w:r>
        <w:rPr>
          <w:b/>
        </w:rPr>
        <w:t xml:space="preserve">Ergebnis: </w:t>
      </w:r>
      <w:r>
        <w:t>Wissen des nationalen AMR-Aktionsplans stieg von 13,6 % auf 45,6 %. Laboranforderungsformulare komplett ausgefüllt: 48,6 % auf 73,9 %. Klinische Resistenztestung verbesserte sich. Empirische Antibiotikaverordnung bei Aufnahme änderte sich nicht signifikant. Wissens-Praxis-Lücke blieb bestehen. Verbesserungen durch nationale Politikalignment und Krankenhausleitung gefördert; elektronische Systeme und Praxiswechsel limitierten Fortschritt.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Malawi, ressourcenlimitiert; zeigt Machbarkeit strukturierter Überwachung auch in ärmeren Settings</w:t>
      </w:r>
    </w:p>
    <w:p>
      <w:r>
        <w:rPr>
          <w:color w:val="5A7D3A"/>
          <w:sz w:val="18"/>
        </w:rPr>
        <w:t>https://pubmed.ncbi.nlm.nih.gov/42920193/</w:t>
      </w:r>
    </w:p>
    <w:p>
      <w:pPr>
        <w:pStyle w:val="Heading2"/>
      </w:pPr>
      <w:r>
        <w:t>Inflammatorischer Belastungsindex unterscheidet Sepsis von unkomplizierter Pneumonie bei Neugeborenen</w:t>
      </w:r>
    </w:p>
    <w:p>
      <w:r>
        <w:rPr>
          <w:i/>
          <w:color w:val="666666"/>
          <w:sz w:val="18"/>
        </w:rPr>
        <w:t>Li C et al.  ·  BMC Infect Dis  ·  12.10.2026  ·  PMID 42919222</w:t>
      </w:r>
    </w:p>
    <w:p>
      <w:r>
        <w:t>Retrospektive Analyse von 1383 hospitalisierten Neugeborenen (935 mit Pneumonie, 448 mit Pneumonie kompliziert durch Sepsis) zur Bewertung des inflammatorischen Belastungsindex (IBI) als Differenzierungsmarker.</w:t>
      </w:r>
    </w:p>
    <w:p>
      <w:r>
        <w:rPr>
          <w:b/>
        </w:rPr>
        <w:t xml:space="preserve">Ergebnis: </w:t>
      </w:r>
      <w:r>
        <w:t>IBI-Werte signifikant höher in der Sepsis-Gruppe (p &lt; 0,001). Nach Adjustierung für Confounder blieb erhöhtes IBI unabhängig mit erhöhter Sepsisprävalenz assoziiert. ROC-Analyse: AUC 0,76 (95 % KI 0,73–0,79, p &lt; 0,001). IBI als nicht-invasiver Begleitmarker bei initialer Sepsisbewertung geeignet.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Neonatologie; biomarkergestützte Diagnostik universal anwendbar</w:t>
      </w:r>
    </w:p>
    <w:p>
      <w:r>
        <w:rPr>
          <w:color w:val="5A7D3A"/>
          <w:sz w:val="18"/>
        </w:rPr>
        <w:t>https://pubmed.ncbi.nlm.nih.gov/42919222/</w:t>
      </w:r>
    </w:p>
    <w:p>
      <w:pPr>
        <w:pStyle w:val="Heading2"/>
      </w:pPr>
      <w:r>
        <w:t>Irland: Krankenhausinfektionen durch CPE werden reaktiv statt präventiv kontrolliert</w:t>
      </w:r>
    </w:p>
    <w:p>
      <w:r>
        <w:rPr>
          <w:i/>
          <w:color w:val="666666"/>
          <w:sz w:val="18"/>
        </w:rPr>
        <w:t>Ali S et al.  ·  J Hosp Infect  ·  09.09.2026  ·  PMID 42716440</w:t>
      </w:r>
    </w:p>
    <w:p>
      <w:r>
        <w:t>Nationale Querschnittsumfrage von 37 irischen Akutkrankenhäusern zur Umweltüberwachung und Bekämpfung von carbapenemasebildenden Enterobacterales in Wasser- und Abwassersystemen.</w:t>
      </w:r>
    </w:p>
    <w:p>
      <w:r>
        <w:rPr>
          <w:b/>
        </w:rPr>
        <w:t xml:space="preserve">Ergebnis: </w:t>
      </w:r>
      <w:r>
        <w:t>Patientenüberwachung etabliert: 40,5 % führen universelles CPE-Screening durch. Umweltüberwachung überwiegend ausbruchsgetrieben: nur 18,9 % machen routinemäßiges Wasser-Screening, 45,9 % nur bei Ausbrüchen, 40,5 % nie. Chemische Desinfektion 59,5 %, Wärmebehandlung 18,9 %, keine Strategie 29,7 %. Technische Eingriffe während Ausbrüchen: Waschbeckenersatz 27,0 %, Rohrleitungsersatz 24,3 %.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Irisches System mit vergleichbarem Meldewesen; zeigt Defizite in präventiver Umweltkontrolle</w:t>
      </w:r>
    </w:p>
    <w:p>
      <w:r>
        <w:rPr>
          <w:color w:val="5A7D3A"/>
          <w:sz w:val="18"/>
        </w:rPr>
        <w:t>https://pubmed.ncbi.nlm.nih.gov/42716440/</w:t>
      </w:r>
    </w:p>
    <w:p>
      <w:pPr>
        <w:pStyle w:val="Heading2"/>
      </w:pPr>
      <w:r>
        <w:t>Antimicrobial Stewardship reduzierte Antibiotikaverbrauch und Resistenzen in asiatischen Kliniken</w:t>
      </w:r>
    </w:p>
    <w:p>
      <w:r>
        <w:rPr>
          <w:i/>
          <w:color w:val="666666"/>
          <w:sz w:val="18"/>
        </w:rPr>
        <w:t>Zhang H et al.  ·  J Hosp Infect  ·  02.09.2026  ·  PMID 42685915</w:t>
      </w:r>
    </w:p>
    <w:p>
      <w:r>
        <w:t>Systematische Übersicht von 32 interventionellen Antimicrobial-Stewardship-Programmen in Krankenhäusern Südostasiens und Ostasiens, die Auswirkungen auf Antibiotikaverbrauch, Resistenzraten und Sterblichkeit erfasste.</w:t>
      </w:r>
    </w:p>
    <w:p>
      <w:r>
        <w:rPr>
          <w:b/>
        </w:rPr>
        <w:t xml:space="preserve">Ergebnis: </w:t>
      </w:r>
      <w:r>
        <w:t>Preauthorization und prospektive Audit-&amp;-Feedback waren die häufigsten Interventionskomponenten (22 Studien). Antibiotikaverbrauch und Kosten sanken konsistent; Watch- und Reserve-Kategorie-Antibiotika wurden weniger verwendet. Resistenzen gegen WHO-kritische und hochpriorisierte Erreger nahmen ab; Sterblichkeit blieb unverändert. Heterogenität in Diagnostik und Berichtsstandards bestanden fort.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Asiatische Daten zeigen Best-Practice-Transfer auf vergleichbare Strukturen</w:t>
      </w:r>
    </w:p>
    <w:p>
      <w:r>
        <w:rPr>
          <w:color w:val="5A7D3A"/>
          <w:sz w:val="18"/>
        </w:rPr>
        <w:t>https://pubmed.ncbi.nlm.nih.gov/42685915/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Patientensicherheit</dc:title>
  <dc:subject/>
  <dc:creator>Monitor Versorgungsforschung</dc:creator>
  <cp:keywords/>
  <dc:description>generated by python-docx</dc:description>
  <cp:lastModifiedBy/>
  <cp:revision>1</cp:revision>
  <dcterms:created xsi:type="dcterms:W3CDTF">2026-10-26T06:00:00Z</dcterms:created>
  <dcterms:modified xsi:type="dcterms:W3CDTF">2026-10-26T06:00:00Z</dcterms:modified>
  <cp:category/>
</cp:coreProperties>
</file>