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26.10.2026  |  375 Studien  |  safety.m-vf.de</w:t>
      </w:r>
    </w:p>
    <w:p>
      <w:pPr>
        <w:pStyle w:val="Heading1"/>
      </w:pPr>
      <w:r>
        <w:t>Aufgenommen am 26.10.2026</w:t>
      </w:r>
    </w:p>
    <w:p>
      <w:pPr>
        <w:pStyle w:val="Heading2"/>
      </w:pPr>
      <w:r>
        <w:t>Infektionspräventions-Bundles auf Intensivstationen senken nosokomiale Infektionen um bis zu 63 %</w:t>
      </w:r>
    </w:p>
    <w:p>
      <w:r>
        <w:rPr>
          <w:i/>
          <w:color w:val="666666"/>
          <w:sz w:val="18"/>
        </w:rPr>
        <w:t>Ageel MA et al.  ·  Clin Ter  ·  Nov. 2026  ·  PMID 42922243</w:t>
      </w:r>
    </w:p>
    <w:p>
      <w:r>
        <w:t>Systematische Übersicht von 17 Studien zu Qualitätsverbesserungsmaßnahmen gegen Krankenhausinfektionen bei neurochirurgischen ICU-Patienten, mit Fokus auf Device-assoziierte Infektionen.</w:t>
      </w:r>
    </w:p>
    <w:p>
      <w:r>
        <w:rPr>
          <w:b/>
        </w:rPr>
        <w:t xml:space="preserve">Ergebnis: </w:t>
      </w:r>
      <w:r>
        <w:t>EVD-spezifische Care-Bundles senkten EVD-assoziierte Infektionen von 14,35 auf 3,21 pro 1.000 Kathetertage (77 % Reduktion). VAP-Raten sanken von 68,2 auf 47,4 pro 1.000 Beatmungstage, CAUTI von 24,9 auf 13,4 pro 1.000 Kathetertage. Eine Studie meldete 20 aufeinanderfolgende infektionsfreie Monate. CLABSI-Raten erreichten null in einer Studie mit kontinuierlichem Monitoring.</w:t>
      </w:r>
    </w:p>
    <w:p>
      <w:r>
        <w:rPr>
          <w:b/>
          <w:sz w:val="19"/>
        </w:rPr>
        <w:t xml:space="preserve">Übertragbarkeit: </w:t>
      </w:r>
      <w:r>
        <w:rPr>
          <w:sz w:val="19"/>
        </w:rPr>
        <w:t>Studien aus 14 Ländern, überwiegend standardisierte Protokolle, auf deutsche Strukturen übertragbar</w:t>
      </w:r>
    </w:p>
    <w:p>
      <w:r>
        <w:rPr>
          <w:color w:val="5A7D3A"/>
          <w:sz w:val="18"/>
        </w:rPr>
        <w:t>https://pubmed.ncbi.nlm.nih.gov/42922243/</w:t>
      </w:r>
    </w:p>
    <w:p>
      <w:pPr>
        <w:pStyle w:val="Heading2"/>
      </w:pPr>
      <w:r>
        <w:t>Infektionsprävention in Psychiatrien: Multidisziplinäre Intervention senkt MRSA und CRPA</w:t>
      </w:r>
    </w:p>
    <w:p>
      <w:r>
        <w:rPr>
          <w:i/>
          <w:color w:val="666666"/>
          <w:sz w:val="18"/>
        </w:rPr>
        <w:t>Du J et al.  ·  Front Cell Infect Microbiol  ·  09.10.2026  ·  PMID 42920550</w:t>
      </w:r>
    </w:p>
    <w:p>
      <w:r>
        <w:t>Entwicklung und Anwendung des MISCP-S-Modells (Multidisziplinäre Zusammenarbeit, Informatisierung, Staffelschulung, Anreize, Prozessoptimierung) in einer psychiatrischen Tertiärklinik mit Vergleich von 1343 Fällen vorher und 677 nachher.</w:t>
      </w:r>
    </w:p>
    <w:p>
      <w:r>
        <w:rPr>
          <w:b/>
        </w:rPr>
        <w:t xml:space="preserve">Ergebnis: </w:t>
      </w:r>
      <w:r>
        <w:t>Pathogendetektions-Beprobungsrate stieg von 69,47 % auf 98,38 %. Testangemessenheit: 100 %. Therapeutische Antibiotikaverwendung sank von 16,03 % auf 14,61 %. Multidrug-resistente Organismen (MDRO) sanken von 37,44 % auf 33,74 %. MRSA-Nachweise sanken, ebenso carbapenem-resistente Pseudomonas aeruginosa. Carbapenem-resistente Enterobacterales stiegen von 14,35 % auf 23,56 %.</w:t>
      </w:r>
    </w:p>
    <w:p>
      <w:r>
        <w:rPr>
          <w:b/>
          <w:sz w:val="19"/>
        </w:rPr>
        <w:t xml:space="preserve">Übertragbarkeit: </w:t>
      </w:r>
      <w:r>
        <w:rPr>
          <w:sz w:val="19"/>
        </w:rPr>
        <w:t>China, psychiatrische Spezialisierung; zeigt Potenzial für adaptierte Stewardship-Modelle</w:t>
      </w:r>
    </w:p>
    <w:p>
      <w:r>
        <w:rPr>
          <w:color w:val="5A7D3A"/>
          <w:sz w:val="18"/>
        </w:rPr>
        <w:t>https://pubmed.ncbi.nlm.nih.gov/42920550/</w:t>
      </w:r>
    </w:p>
    <w:p>
      <w:pPr>
        <w:pStyle w:val="Heading2"/>
      </w:pPr>
      <w:r>
        <w:t>Strukturiertes AMR-Surveillance stärkt Stewardship-Wissen und Praxis in Krankenhäusern Malawis</w:t>
      </w:r>
    </w:p>
    <w:p>
      <w:r>
        <w:rPr>
          <w:i/>
          <w:color w:val="666666"/>
          <w:sz w:val="18"/>
        </w:rPr>
        <w:t>Matemvu Z et al.  ·  Antimicrob Resist Infect Control  ·  27.07.2026  ·  PMID 42920193</w:t>
      </w:r>
    </w:p>
    <w:p>
      <w:r>
        <w:t>Quasi-experimentale Evaluierung einer dreijährigen AMR-Überwachungs- und Kapazitätsaufbau-Intervention an einem Tertiärkrankenhaus in Malawi mit Assessments von Fachkräften und Patientenaktenreview.</w:t>
      </w:r>
    </w:p>
    <w:p>
      <w:r>
        <w:rPr>
          <w:b/>
        </w:rPr>
        <w:t xml:space="preserve">Ergebnis: </w:t>
      </w:r>
      <w:r>
        <w:t>Wissen des nationalen AMR-Aktionsplans stieg von 13,6 % auf 45,6 %. Laboranforderungsformulare komplett ausgefüllt: 48,6 % auf 73,9 %. Klinische Resistenztestung verbesserte sich. Empirische Antibiotikaverordnung bei Aufnahme änderte sich nicht signifikant. Wissens-Praxis-Lücke blieb bestehen. Verbesserungen durch nationale Politikalignment und Krankenhausleitung gefördert; elektronische Systeme und Praxiswechsel limitierten Fortschritt.</w:t>
      </w:r>
    </w:p>
    <w:p>
      <w:r>
        <w:rPr>
          <w:b/>
          <w:sz w:val="19"/>
        </w:rPr>
        <w:t xml:space="preserve">Übertragbarkeit: </w:t>
      </w:r>
      <w:r>
        <w:rPr>
          <w:sz w:val="19"/>
        </w:rPr>
        <w:t>Malawi, ressourcenlimitiert; zeigt Machbarkeit strukturierter Überwachung auch in ärmeren Settings</w:t>
      </w:r>
    </w:p>
    <w:p>
      <w:r>
        <w:rPr>
          <w:color w:val="5A7D3A"/>
          <w:sz w:val="18"/>
        </w:rPr>
        <w:t>https://pubmed.ncbi.nlm.nih.gov/42920193/</w:t>
      </w:r>
    </w:p>
    <w:p>
      <w:pPr>
        <w:pStyle w:val="Heading2"/>
      </w:pPr>
      <w:r>
        <w:t>Inflammatorischer Belastungsindex unterscheidet Sepsis von unkomplizierter Pneumonie bei Neugeborenen</w:t>
      </w:r>
    </w:p>
    <w:p>
      <w:r>
        <w:rPr>
          <w:i/>
          <w:color w:val="666666"/>
          <w:sz w:val="18"/>
        </w:rPr>
        <w:t>Li C et al.  ·  BMC Infect Dis  ·  12.10.2026  ·  PMID 42919222</w:t>
      </w:r>
    </w:p>
    <w:p>
      <w:r>
        <w:t>Retrospektive Analyse von 1383 hospitalisierten Neugeborenen (935 mit Pneumonie, 448 mit Pneumonie kompliziert durch Sepsis) zur Bewertung des inflammatorischen Belastungsindex (IBI) als Differenzierungsmarker.</w:t>
      </w:r>
    </w:p>
    <w:p>
      <w:r>
        <w:rPr>
          <w:b/>
        </w:rPr>
        <w:t xml:space="preserve">Ergebnis: </w:t>
      </w:r>
      <w:r>
        <w:t>IBI-Werte signifikant höher in der Sepsis-Gruppe (p &lt; 0,001). Nach Adjustierung für Confounder blieb erhöhtes IBI unabhängig mit erhöhter Sepsisprävalenz assoziiert. ROC-Analyse: AUC 0,76 (95 % KI 0,73–0,79, p &lt; 0,001). IBI als nicht-invasiver Begleitmarker bei initialer Sepsisbewertung geeignet.</w:t>
      </w:r>
    </w:p>
    <w:p>
      <w:r>
        <w:rPr>
          <w:b/>
          <w:sz w:val="19"/>
        </w:rPr>
        <w:t xml:space="preserve">Übertragbarkeit: </w:t>
      </w:r>
      <w:r>
        <w:rPr>
          <w:sz w:val="19"/>
        </w:rPr>
        <w:t>China, Neonatologie; biomarkergestützte Diagnostik universal anwendbar</w:t>
      </w:r>
    </w:p>
    <w:p>
      <w:r>
        <w:rPr>
          <w:color w:val="5A7D3A"/>
          <w:sz w:val="18"/>
        </w:rPr>
        <w:t>https://pubmed.ncbi.nlm.nih.gov/42919222/</w:t>
      </w:r>
    </w:p>
    <w:p>
      <w:pPr>
        <w:pStyle w:val="Heading2"/>
      </w:pPr>
      <w:r>
        <w:t>Irland: Krankenhausinfektionen durch CPE werden reaktiv statt präventiv kontrolliert</w:t>
      </w:r>
    </w:p>
    <w:p>
      <w:r>
        <w:rPr>
          <w:i/>
          <w:color w:val="666666"/>
          <w:sz w:val="18"/>
        </w:rPr>
        <w:t>Ali S et al.  ·  J Hosp Infect  ·  09.09.2026  ·  PMID 42716440</w:t>
      </w:r>
    </w:p>
    <w:p>
      <w:r>
        <w:t>Nationale Querschnittsumfrage von 37 irischen Akutkrankenhäusern zur Umweltüberwachung und Bekämpfung von carbapenemasebildenden Enterobacterales in Wasser- und Abwassersystemen.</w:t>
      </w:r>
    </w:p>
    <w:p>
      <w:r>
        <w:rPr>
          <w:b/>
        </w:rPr>
        <w:t xml:space="preserve">Ergebnis: </w:t>
      </w:r>
      <w:r>
        <w:t>Patientenüberwachung etabliert: 40,5 % führen universelles CPE-Screening durch. Umweltüberwachung überwiegend ausbruchsgetrieben: nur 18,9 % machen routinemäßiges Wasser-Screening, 45,9 % nur bei Ausbrüchen, 40,5 % nie. Chemische Desinfektion 59,5 %, Wärmebehandlung 18,9 %, keine Strategie 29,7 %. Technische Eingriffe während Ausbrüchen: Waschbeckenersatz 27,0 %, Rohrleitungsersatz 24,3 %.</w:t>
      </w:r>
    </w:p>
    <w:p>
      <w:r>
        <w:rPr>
          <w:b/>
          <w:sz w:val="19"/>
        </w:rPr>
        <w:t xml:space="preserve">Übertragbarkeit: </w:t>
      </w:r>
      <w:r>
        <w:rPr>
          <w:sz w:val="19"/>
        </w:rPr>
        <w:t>Irisches System mit vergleichbarem Meldewesen; zeigt Defizite in präventiver Umweltkontrolle</w:t>
      </w:r>
    </w:p>
    <w:p>
      <w:r>
        <w:rPr>
          <w:color w:val="5A7D3A"/>
          <w:sz w:val="18"/>
        </w:rPr>
        <w:t>https://pubmed.ncbi.nlm.nih.gov/42716440/</w:t>
      </w:r>
    </w:p>
    <w:p>
      <w:pPr>
        <w:pStyle w:val="Heading2"/>
      </w:pPr>
      <w:r>
        <w:t>Antimicrobial Stewardship reduzierte Antibiotikaverbrauch und Resistenzen in asiatischen Kliniken</w:t>
      </w:r>
    </w:p>
    <w:p>
      <w:r>
        <w:rPr>
          <w:i/>
          <w:color w:val="666666"/>
          <w:sz w:val="18"/>
        </w:rPr>
        <w:t>Zhang H et al.  ·  J Hosp Infect  ·  02.09.2026  ·  PMID 42685915</w:t>
      </w:r>
    </w:p>
    <w:p>
      <w:r>
        <w:t>Systematische Übersicht von 32 interventionellen Antimicrobial-Stewardship-Programmen in Krankenhäusern Südostasiens und Ostasiens, die Auswirkungen auf Antibiotikaverbrauch, Resistenzraten und Sterblichkeit erfasste.</w:t>
      </w:r>
    </w:p>
    <w:p>
      <w:r>
        <w:rPr>
          <w:b/>
        </w:rPr>
        <w:t xml:space="preserve">Ergebnis: </w:t>
      </w:r>
      <w:r>
        <w:t>Preauthorization und prospektive Audit-&amp;-Feedback waren die häufigsten Interventionskomponenten (22 Studien). Antibiotikaverbrauch und Kosten sanken konsistent; Watch- und Reserve-Kategorie-Antibiotika wurden weniger verwendet. Resistenzen gegen WHO-kritische und hochpriorisierte Erreger nahmen ab; Sterblichkeit blieb unverändert. Heterogenität in Diagnostik und Berichtsstandards bestanden fort.</w:t>
      </w:r>
    </w:p>
    <w:p>
      <w:r>
        <w:rPr>
          <w:b/>
          <w:sz w:val="19"/>
        </w:rPr>
        <w:t xml:space="preserve">Übertragbarkeit: </w:t>
      </w:r>
      <w:r>
        <w:rPr>
          <w:sz w:val="19"/>
        </w:rPr>
        <w:t>Asiatische Daten zeigen Best-Practice-Transfer auf vergleichbare Strukturen</w:t>
      </w:r>
    </w:p>
    <w:p>
      <w:r>
        <w:rPr>
          <w:color w:val="5A7D3A"/>
          <w:sz w:val="18"/>
        </w:rPr>
        <w:t>https://pubmed.ncbi.nlm.nih.gov/42685915/</w:t>
      </w:r>
    </w:p>
    <w:p>
      <w:pPr>
        <w:pStyle w:val="Heading1"/>
      </w:pPr>
      <w:r>
        <w:t>Aufgenommen am 25.10.2026</w:t>
      </w:r>
    </w:p>
    <w:p>
      <w:pPr>
        <w:pStyle w:val="Heading2"/>
      </w:pPr>
      <w:r>
        <w:t>Expertenkonsens zur Referenzdatenerstellung f ür Früherkennung nosokomialer Ausbrüche</w:t>
      </w:r>
    </w:p>
    <w:p>
      <w:r>
        <w:rPr>
          <w:i/>
          <w:color w:val="666666"/>
          <w:sz w:val="18"/>
        </w:rPr>
        <w:t>Leclère B et al.  ·  J Hosp Infect  ·  11.09.2026  ·  PMID 42727816</w:t>
      </w:r>
    </w:p>
    <w:p>
      <w:r>
        <w:t>Konsens- studieüber die Entwicklung von Referenzdatensätzen zur Validierung von Ausbrucherkennungs-Algorithmen in Krankenhäusern durch Experten bewertung.</w:t>
      </w:r>
    </w:p>
    <w:p>
      <w:r>
        <w:rPr>
          <w:b/>
        </w:rPr>
        <w:t xml:space="preserve">Ergebnis: </w:t>
      </w:r>
      <w:r>
        <w:t>25 Experten aus Kanada und Frankreich identifizierten in 36 Zeitreihen (1899 Überwachungswochen) 89 potenzielle Ausbruchzeiten mittels Mehrheitsvotum und 96 durch Hidden-Markov-Modell. Die Übereinst immung zwischen den Methoden war am stärksten für hochwahrscheinliche Ausbruchwochen. Ein zuverlässiger Referenzdatensatz für Entwicklung und Vergleich von Erkennungsalgorithmen wurde konstruiert.</w:t>
      </w:r>
    </w:p>
    <w:p>
      <w:r>
        <w:rPr>
          <w:b/>
          <w:sz w:val="19"/>
        </w:rPr>
        <w:t xml:space="preserve">Übertragbarkeit: </w:t>
      </w:r>
      <w:r>
        <w:rPr>
          <w:sz w:val="19"/>
        </w:rPr>
        <w:t>Frankreich und Kanada, vergleichbares Surveillance-Verständnis, methodologische Übertragbarkeit</w:t>
      </w:r>
    </w:p>
    <w:p>
      <w:r>
        <w:rPr>
          <w:color w:val="5A7D3A"/>
          <w:sz w:val="18"/>
        </w:rPr>
        <w:t>https://pubmed.ncbi.nlm.nih.gov/42727816/</w:t>
      </w:r>
    </w:p>
    <w:p>
      <w:pPr>
        <w:pStyle w:val="Heading1"/>
      </w:pPr>
      <w:r>
        <w:t>Aufgenommen am 24.10.2026</w:t>
      </w:r>
    </w:p>
    <w:p>
      <w:pPr>
        <w:pStyle w:val="Heading2"/>
      </w:pPr>
      <w:r>
        <w:t>pH-Wert 4,5 bei Magensonde senkte X-Ray-Bestätigungen ohne Sicherheitsverlust</w:t>
      </w:r>
    </w:p>
    <w:p>
      <w:r>
        <w:rPr>
          <w:i/>
          <w:color w:val="666666"/>
          <w:sz w:val="18"/>
        </w:rPr>
        <w:t>Williams V et al.  ·  Br J Nurs  ·  22.10.2026  ·  PMID 42912425</w:t>
      </w:r>
    </w:p>
    <w:p>
      <w:r>
        <w:t>Qualitätsinitiative an einem britischen Krankenhaus, die den pH-Grenzwert zur Magensonden-Lagekontrolle von 5,5 auf 4,5 senkte, um Fehlplatzierungen zu reduzieren; Erfassung von Audit-Daten 2018-2026.</w:t>
      </w:r>
    </w:p>
    <w:p>
      <w:r>
        <w:rPr>
          <w:b/>
        </w:rPr>
        <w:t xml:space="preserve">Ergebnis: </w:t>
      </w:r>
      <w:r>
        <w:t>Die Absenkung des pH-Grenzwerts auf 4,5 führte nicht zu einem Anstieg der Röntgenbestätigungen. Die Maßnahme war eine einfache und wirksame Sicherheitsverbesserung, die mit Standard-Pflegeverfahren umsetzbar war und Fehlplatzierungsrisiken senkte.</w:t>
      </w:r>
    </w:p>
    <w:p>
      <w:r>
        <w:rPr>
          <w:b/>
          <w:sz w:val="19"/>
        </w:rPr>
        <w:t xml:space="preserve">Übertragbarkeit: </w:t>
      </w:r>
      <w:r>
        <w:rPr>
          <w:sz w:val="19"/>
        </w:rPr>
        <w:t>Vereinigtes Königreich, direkt übertragbar auf deutsche Krankenhäuser, unkomplizierte Prozessanpassung.</w:t>
      </w:r>
    </w:p>
    <w:p>
      <w:r>
        <w:rPr>
          <w:color w:val="5A7D3A"/>
          <w:sz w:val="18"/>
        </w:rPr>
        <w:t>https://pubmed.ncbi.nlm.nih.gov/42912425/</w:t>
      </w:r>
    </w:p>
    <w:p>
      <w:pPr>
        <w:pStyle w:val="Heading2"/>
      </w:pPr>
      <w:r>
        <w:t>Gram-negative Erreger verursachen 31,5 % der Operationswundinfektionen nach Wirbelsäulenfusion</w:t>
      </w:r>
    </w:p>
    <w:p>
      <w:r>
        <w:rPr>
          <w:i/>
          <w:color w:val="666666"/>
          <w:sz w:val="18"/>
        </w:rPr>
        <w:t>Lindstrom M et al.  ·  Emerg Infect Dis  ·  Nov. 2026  ·  PMID 42909851</w:t>
      </w:r>
    </w:p>
    <w:p>
      <w:r>
        <w:t>Querschnittsanalyse von 7.187 Fällen aus dem CDC-Überwachungsnetzwerk zu Mikrobiologie und Risikofaktoren für Gram-negative Infektionen nach Wirbelsäulenfusionen.</w:t>
      </w:r>
    </w:p>
    <w:p>
      <w:r>
        <w:rPr>
          <w:b/>
        </w:rPr>
        <w:t xml:space="preserve">Ergebnis: </w:t>
      </w:r>
      <w:r>
        <w:t>Gram-negative Organismen verursachten 31,5 % (2.265/7.187) der Infektionen. Unabhängig assoziiert mit Gram-negativ-Infektion waren: höheres Alter, weibliches Geschlecht, höherer BMI, längere OP-Zeiten, höhere ASA-Klasse, lumbale Beteiligung, stationäre OP und Notfall-/Traumachirurgie.</w:t>
      </w:r>
    </w:p>
    <w:p>
      <w:r>
        <w:rPr>
          <w:b/>
          <w:sz w:val="19"/>
        </w:rPr>
        <w:t xml:space="preserve">Übertragbarkeit: </w:t>
      </w:r>
      <w:r>
        <w:rPr>
          <w:sz w:val="19"/>
        </w:rPr>
        <w:t>USA, begrenzte Übertragbarkeit auf Deutschland wegen Finanzierungsunterschieden, aber Risikoprofil für empirische Antibiotika-Wahl relevant.</w:t>
      </w:r>
    </w:p>
    <w:p>
      <w:r>
        <w:rPr>
          <w:color w:val="5A7D3A"/>
          <w:sz w:val="18"/>
        </w:rPr>
        <w:t>https://pubmed.ncbi.nlm.nih.gov/42909851/</w:t>
      </w:r>
    </w:p>
    <w:p>
      <w:pPr>
        <w:pStyle w:val="Heading2"/>
      </w:pPr>
      <w:r>
        <w:t>Eingeschränkte Lungenfunktion erhöht Blutstrominfektion-Risiko auf das 1,5- bis 2,5-Fache</w:t>
      </w:r>
    </w:p>
    <w:p>
      <w:r>
        <w:rPr>
          <w:i/>
          <w:color w:val="666666"/>
          <w:sz w:val="18"/>
        </w:rPr>
        <w:t>Ahlström MG et al.  ·  Respir Med  ·  11.10.2026  ·  PMID 42860238</w:t>
      </w:r>
    </w:p>
    <w:p>
      <w:r>
        <w:t>Prospektive Kohortenanalyse von 118.565 Teilnehmern der Kopenhagener Bevölkerungsstudie mit Spirometrie und 10-Jahres-Nachverfolgung über mikrobielle Datenbanken zur Untersuchung der Assoziation zwischen Lungenfunktion und Blutstrominfektion.</w:t>
      </w:r>
    </w:p>
    <w:p>
      <w:r>
        <w:rPr>
          <w:b/>
        </w:rPr>
        <w:t xml:space="preserve">Ergebnis: </w:t>
      </w:r>
      <w:r>
        <w:t>Obstruktives spirometrisches Muster zeigte eine Hazard Ratio von 1,5 (95%-KI 1,4-1,7), PRISm-Pattern 1,4 (1,2-1,5); für FEV1 &lt;50 % war HR 2,5 (2,0-3,2). Die bevölkerungsattribuierbare Fraktion für Blutstrominfektion durch abnormale Spirometrie betrug 9,5 %. Das Risiko war nicht auf Atemwegserreger beschränkt.</w:t>
      </w:r>
    </w:p>
    <w:p>
      <w:r>
        <w:rPr>
          <w:b/>
          <w:sz w:val="19"/>
        </w:rPr>
        <w:t xml:space="preserve">Übertragbarkeit: </w:t>
      </w:r>
      <w:r>
        <w:rPr>
          <w:sz w:val="19"/>
        </w:rPr>
        <w:t>Dänemark, europäisches Gesundheitssystem; Primärprävention durch Lungenfunktionscreening relevanter für Risikoidentifikation.</w:t>
      </w:r>
    </w:p>
    <w:p>
      <w:r>
        <w:rPr>
          <w:color w:val="5A7D3A"/>
          <w:sz w:val="18"/>
        </w:rPr>
        <w:t>https://pubmed.ncbi.nlm.nih.gov/42860238/</w:t>
      </w:r>
    </w:p>
    <w:p>
      <w:pPr>
        <w:pStyle w:val="Heading2"/>
      </w:pPr>
      <w:r>
        <w:t>Methotrexat zusätzlich zu Prednisolon verbesserte Erythema-nodosum-leprosum-Flares nicht</w:t>
      </w:r>
    </w:p>
    <w:p>
      <w:r>
        <w:rPr>
          <w:i/>
          <w:color w:val="666666"/>
          <w:sz w:val="18"/>
        </w:rPr>
        <w:t>de Barros B et al.  ·  PLoS Negl Trop Dis  ·  30.09.2026  ·  PMID 42814788</w:t>
      </w:r>
    </w:p>
    <w:p>
      <w:r>
        <w:t>Internationale doppelblinde RCT mit 137 Patienten an fünf lepra-Referenzzentren (Äthiopien, Indien, Indonesien, Nepal) zur Frage, ob wöchentliches orales Methotrexat zusätzlich zu Prednisolon den zusätzlichen Prednisolon-Bedarf bei schwerer ENL reduziert.</w:t>
      </w:r>
    </w:p>
    <w:p>
      <w:r>
        <w:rPr>
          <w:b/>
        </w:rPr>
        <w:t xml:space="preserve">Ergebnis: </w:t>
      </w:r>
      <w:r>
        <w:t>Bei 24 Wochen: 85/137 (62,0 %) erlebten ENL-Flare; adjustierte HR Methotrexat vs. Placebo 0,98 (95%-KI 0,62-1,54). Bei 48 Wochen: 102/137 (74,5 %); HR 0,95 (0,62-1,43). Sekundärergebnisse ähnlich: Methotrexat reduzierte nicht Schweregrad, Häufigkeit oder spätere Flares. Lebensqualität verbesserte sich in beiden Gruppen ohne Unterschied. Methotrexat war gut verträglich, wird aber von dieser Studie für schwere ENL nicht unterstützt.</w:t>
      </w:r>
    </w:p>
    <w:p>
      <w:r>
        <w:rPr>
          <w:b/>
          <w:sz w:val="19"/>
        </w:rPr>
        <w:t xml:space="preserve">Übertragbarkeit: </w:t>
      </w:r>
      <w:r>
        <w:rPr>
          <w:sz w:val="19"/>
        </w:rPr>
        <w:t>Multipol niedrig-/mittleeinkommliche Länder, Wirksamkeitsstudie zu seltener Krankheit, aber Versorgungsrelevanz für deutschsprachige Länder gering.</w:t>
      </w:r>
    </w:p>
    <w:p>
      <w:r>
        <w:rPr>
          <w:color w:val="5A7D3A"/>
          <w:sz w:val="18"/>
        </w:rPr>
        <w:t>https://pubmed.ncbi.nlm.nih.gov/42814788/</w:t>
      </w:r>
    </w:p>
    <w:p>
      <w:pPr>
        <w:pStyle w:val="Heading2"/>
      </w:pPr>
      <w:r>
        <w:t>Nationale Sicherheitsempfehlungen scheitern oft in der Umsetzung wegen konkurrierender Organisationslogiken</w:t>
      </w:r>
    </w:p>
    <w:p>
      <w:r>
        <w:rPr>
          <w:i/>
          <w:color w:val="666666"/>
          <w:sz w:val="18"/>
        </w:rPr>
        <w:t>Peerally MF et al.  ·  Int J Qual Health Care  ·  05.10.2026  ·  PMID 42767996</w:t>
      </w:r>
    </w:p>
    <w:p>
      <w:r>
        <w:t>Qualitative Multimethod-Studie von 22 Untersuchungsberichten der englischen Behörde HSSIB, zwei Fokusgruppen mit 12 Ermittlern und 11 Interviews mit Vertretern empfangsorganisationen zu Implementierungshindernissen.</w:t>
      </w:r>
    </w:p>
    <w:p>
      <w:r>
        <w:rPr>
          <w:b/>
        </w:rPr>
        <w:t xml:space="preserve">Ergebnis: </w:t>
      </w:r>
      <w:r>
        <w:t>Dokumentenanalyse zeigte, dass HSSIB-Empfehlungen nicht-direktiv waren und auf schwächsten Kontrollebenen sowie administrative Maßnahmen konzentrierten. Zwei konkurrierende institutionelle Logiken: HSSIB nutzt Sicherheitswissenschaft (Systemdenken, Mitgestaltung, nonpunitives Lernen), Empfängerorganisationen nutzen Manage-ment-Operationslogik (Ressourcenverwaltung, operative Machbarkeit). Folgen: (i) Empfehlungen durch nominale Koproduktion abgeschwächt; (ii) Prioritäten durch politische Salience und Ressourcenverfügbarkeit gesteuert; (iii) diffuse Rechenschaftspflicht; (iv) Transparenz-Wirkung begrenzt. Strukturelle Trennung HSSIB/Organisationen paradox: zentral für Legitimität als Lernkörper, aber distanziert von operativen Realitäten.</w:t>
      </w:r>
    </w:p>
    <w:p>
      <w:r>
        <w:rPr>
          <w:b/>
          <w:sz w:val="19"/>
        </w:rPr>
        <w:t xml:space="preserve">Übertragbarkeit: </w:t>
      </w:r>
      <w:r>
        <w:rPr>
          <w:sz w:val="19"/>
        </w:rPr>
        <w:t>Vereinigtes Königreich, deutsches Sicherheitsmanagementsystem vor ähnliche Implementierungs-Barrieren gestellt.</w:t>
      </w:r>
    </w:p>
    <w:p>
      <w:r>
        <w:rPr>
          <w:color w:val="5A7D3A"/>
          <w:sz w:val="18"/>
        </w:rPr>
        <w:t>https://pubmed.ncbi.nlm.nih.gov/42767996/</w:t>
      </w:r>
    </w:p>
    <w:p>
      <w:pPr>
        <w:pStyle w:val="Heading2"/>
      </w:pPr>
      <w:r>
        <w:t>Sepsis in Spanien: Inzidenz und stationäre Sterblichkeit stiegen 2017-2022 um 16 %</w:t>
      </w:r>
    </w:p>
    <w:p>
      <w:r>
        <w:rPr>
          <w:i/>
          <w:color w:val="666666"/>
          <w:sz w:val="18"/>
        </w:rPr>
        <w:t>López Herrero R et al.  ·  Int J Infect Dis  ·  16.09.2026  ·  PMID 42749250</w:t>
      </w:r>
    </w:p>
    <w:p>
      <w:r>
        <w:t>Bevölkerungsbasierte retrospektive Analyse von 1.187.393 Sepsisfällen in Spanien anhand des Minimum Basic Data Set zur Beschreibung von Trends, Infektionsquellen und Gesundheitsbelastung.</w:t>
      </w:r>
    </w:p>
    <w:p>
      <w:r>
        <w:rPr>
          <w:b/>
        </w:rPr>
        <w:t xml:space="preserve">Ergebnis: </w:t>
      </w:r>
      <w:r>
        <w:t>Die altersadjustierte Inzidenz stieg von 4,0 pro 1.000 Einwohner 2017 auf 4,65 pro 1.000 2022; die stationäre Mortalität erhöhte sich von 19,4 % (2017) auf 23,7 % (2020, Pandemiepeak) und stabilisierte sich bei 20,8 % (2022). Atemwegs- und Harnwegsinfektionen waren führende Infektionsquellen; Patienten waren überwiegend älter (Mittelwert 74,3 Jahre) mit hoher Komorbiditätslast.</w:t>
      </w:r>
    </w:p>
    <w:p>
      <w:r>
        <w:rPr>
          <w:b/>
          <w:sz w:val="19"/>
        </w:rPr>
        <w:t xml:space="preserve">Übertragbarkeit: </w:t>
      </w:r>
      <w:r>
        <w:rPr>
          <w:sz w:val="19"/>
        </w:rPr>
        <w:t>Spanien, vergleichbare administrative Datenerfassung; Pandemieffekt auf europäische Sepsisepidemiologie relevant.</w:t>
      </w:r>
    </w:p>
    <w:p>
      <w:r>
        <w:rPr>
          <w:color w:val="5A7D3A"/>
          <w:sz w:val="18"/>
        </w:rPr>
        <w:t>https://pubmed.ncbi.nlm.nih.gov/42749250/</w:t>
      </w:r>
    </w:p>
    <w:p>
      <w:pPr>
        <w:pStyle w:val="Heading2"/>
      </w:pPr>
      <w:r>
        <w:t>Digitale Überwachung von Krankenhausinfektionen: Designelemente heterogen, klinische Integration rarely documented</w:t>
      </w:r>
    </w:p>
    <w:p>
      <w:r>
        <w:rPr>
          <w:i/>
          <w:color w:val="666666"/>
          <w:sz w:val="18"/>
        </w:rPr>
        <w:t>Havers SM et al.  ·  J Hosp Infect  ·  02.09.2026  ·  PMID 42685914</w:t>
      </w:r>
    </w:p>
    <w:p>
      <w:r>
        <w:t>Systematische Übersichtsarbeit von 47 Studien über digitale Systeme zur Überwachung nosokomialer Infektionen, Extraktion von Designelementen, Implementierungsmerkmalen und Ergebnissen.</w:t>
      </w:r>
    </w:p>
    <w:p>
      <w:r>
        <w:rPr>
          <w:b/>
        </w:rPr>
        <w:t xml:space="preserve">Ergebnis: </w:t>
      </w:r>
      <w:r>
        <w:t>47 Studien (28 aus Europa, 10 USA) zeigten Designelemente für Detektion, Validierung, Automatisierung und Datenintegration. Systeme waren überwiegend intern entwickelt und staatlich finanziert. HAI-Ergebnisse heterogen, Integration in Routinepraxis selten beschrieben; Patientenauswirkungen wenig evaluiert. Effizienzvorteil teilweise gezeigt, aber fehlende Qualitäts- und Sicherheitsergebnisse behindern Bewertung.</w:t>
      </w:r>
    </w:p>
    <w:p>
      <w:r>
        <w:rPr>
          <w:b/>
          <w:sz w:val="19"/>
        </w:rPr>
        <w:t xml:space="preserve">Übertragbarkeit: </w:t>
      </w:r>
      <w:r>
        <w:rPr>
          <w:sz w:val="19"/>
        </w:rPr>
        <w:t>Überwiegend europäische Evidenz, aber Heterogenität erfordert nationale Kontextanpassung für Deutschland.</w:t>
      </w:r>
    </w:p>
    <w:p>
      <w:r>
        <w:rPr>
          <w:color w:val="5A7D3A"/>
          <w:sz w:val="18"/>
        </w:rPr>
        <w:t>https://pubmed.ncbi.nlm.nih.gov/42685914/</w:t>
      </w:r>
    </w:p>
    <w:p>
      <w:pPr>
        <w:pStyle w:val="Heading1"/>
      </w:pPr>
      <w:r>
        <w:t>Aufgenommen am 23.10.2026</w:t>
      </w:r>
    </w:p>
    <w:p>
      <w:pPr>
        <w:pStyle w:val="Heading2"/>
      </w:pPr>
      <w:r>
        <w:t>Sicherheitskultur verbessert Arbeitsbalance, aber nicht Job-Zufriedenheit</w:t>
      </w:r>
    </w:p>
    <w:p>
      <w:r>
        <w:rPr>
          <w:i/>
          <w:color w:val="666666"/>
          <w:sz w:val="18"/>
        </w:rPr>
        <w:t>Hsieh MF et al.  ·  BMC Health Serv Res  ·  25.07.2026  ·  PMID 42907819</w:t>
      </w:r>
    </w:p>
    <w:p>
      <w:r>
        <w:t>Krankenhausweite Querschnittsstudie bei 1779 Beschäftigten zum Zusammenhang zwischen multidimensionaler Sicherheitskultur und psychischem Wohlbefinden (Resilienz, Work-Life-Balance).</w:t>
      </w:r>
    </w:p>
    <w:p>
      <w:r>
        <w:rPr>
          <w:b/>
        </w:rPr>
        <w:t xml:space="preserve">Ergebnis: </w:t>
      </w:r>
      <w:r>
        <w:t>Die meisten Sicherheitskultur-Dimensionen wirkten sich positiv auf Work-Life-Balance aus (p&lt;0,001); Jobzufriedenheit zeigte aber negative Assoziation mit Resilienz (β=-0,400, p&lt;0,001). Stresswahrnehmung war starker Prädiktor für höhere Resilienz, aber schlechtere Work-Life-Balance.</w:t>
      </w:r>
    </w:p>
    <w:p>
      <w:r>
        <w:rPr>
          <w:b/>
          <w:sz w:val="19"/>
        </w:rPr>
        <w:t xml:space="preserve">Übertragbarkeit: </w:t>
      </w:r>
      <w:r>
        <w:rPr>
          <w:sz w:val="19"/>
        </w:rPr>
        <w:t>Taiwan-Daten, vergleichbar mit Deutschland in Organisationsstrukturen und Messkonzepten.</w:t>
      </w:r>
    </w:p>
    <w:p>
      <w:r>
        <w:rPr>
          <w:color w:val="5A7D3A"/>
          <w:sz w:val="18"/>
        </w:rPr>
        <w:t>https://pubmed.ncbi.nlm.nih.gov/42907819/</w:t>
      </w:r>
    </w:p>
    <w:p>
      <w:pPr>
        <w:pStyle w:val="Heading2"/>
      </w:pPr>
      <w:r>
        <w:t>Zahnhygiene-Protokoll senkt Infektionen nach Schilddrüsen-Endoskopie um 75 %</w:t>
      </w:r>
    </w:p>
    <w:p>
      <w:r>
        <w:rPr>
          <w:i/>
          <w:color w:val="666666"/>
          <w:sz w:val="18"/>
        </w:rPr>
        <w:t>Zhan X et al.  ·  BMC Surg  ·  27.07.2026  ·  PMID 42907790</w:t>
      </w:r>
    </w:p>
    <w:p>
      <w:r>
        <w:t>Prospektive Studie an 52 transoralen endoskopischen Schilddrüsen-Eingriffen mit Vergleich von drei perioperativen Antibiotikaregimen und oralen Hygiene-Protokollen zur Reduktion operativer Infektionen.</w:t>
      </w:r>
    </w:p>
    <w:p>
      <w:r>
        <w:rPr>
          <w:b/>
        </w:rPr>
        <w:t xml:space="preserve">Ergebnis: </w:t>
      </w:r>
      <w:r>
        <w:t>Keine Infektionen in der Cefuroxim-Gruppe, zwei Infektionen in der Metronidazol-Gruppe (n=18 je). Cefuroxim reduzierte abundante Bakterienarten innerhalb 48 h in 50 % der Fälle vs. 13,3 % mit Metronidazol (OR 6,50, 95 %-KI 1,90–22,26, p=0,0023). Povidon-Iod in der oralen Reinigung reduzierte Streptokokken am wirksamsten.</w:t>
      </w:r>
    </w:p>
    <w:p>
      <w:r>
        <w:rPr>
          <w:b/>
          <w:sz w:val="19"/>
        </w:rPr>
        <w:t xml:space="preserve">Übertragbarkeit: </w:t>
      </w:r>
      <w:r>
        <w:rPr>
          <w:sz w:val="19"/>
        </w:rPr>
        <w:t>China, aber Befunde zu Antibiotikaauswahl und oraler Desinfektion sind für Deutschen OP-Standard relevant.</w:t>
      </w:r>
    </w:p>
    <w:p>
      <w:r>
        <w:rPr>
          <w:color w:val="5A7D3A"/>
          <w:sz w:val="18"/>
        </w:rPr>
        <w:t>https://pubmed.ncbi.nlm.nih.gov/42907790/</w:t>
      </w:r>
    </w:p>
    <w:p>
      <w:pPr>
        <w:pStyle w:val="Heading2"/>
      </w:pPr>
      <w:r>
        <w:t>Harnwegsinfektionen: 85,6 % der ED-Antibiotika nicht leitlinienkonform</w:t>
      </w:r>
    </w:p>
    <w:p>
      <w:r>
        <w:rPr>
          <w:i/>
          <w:color w:val="666666"/>
          <w:sz w:val="18"/>
        </w:rPr>
        <w:t>Abdulghani K et al.  ·  BMC Emerg Med  ·  25.07.2026  ·  PMID 42907770</w:t>
      </w:r>
    </w:p>
    <w:p>
      <w:r>
        <w:t>Retrospektive Kohortenstudie an 346 ED-Patienten mit Urinkultur; Bewertung von Antibiotikaverordnungen gegen nationale saudische UTI-Leitlinien in vier Domänen (Wirkstoff, Dosis, Route, Dauer).</w:t>
      </w:r>
    </w:p>
    <w:p>
      <w:r>
        <w:rPr>
          <w:b/>
        </w:rPr>
        <w:t xml:space="preserve">Ergebnis: </w:t>
      </w:r>
      <w:r>
        <w:t>153 Patienten (44,2 %) leitlinienkonform behandelt, 189 (54,6 %) nicht konform; unter behandelten Patienten nur 31 (14,4 %) konform. Hauptgründe: falsche Wirkstoffwahl (31,7 %), Überbehandlung (29,6 %), Resistenzmismatch (13,8 %). Positive Kultur und UTI-Indikation waren Prädiktoren für Non-Adhärenz. Positive-Kultur-Patienten: 30-Tage-ED-Revisit 26,6 % vs. 14,8 % (p=0,008); Non-Adhärenz war unabhängiger Prädiktor für Revisit (OR 2,20).</w:t>
      </w:r>
    </w:p>
    <w:p>
      <w:r>
        <w:rPr>
          <w:b/>
          <w:sz w:val="19"/>
        </w:rPr>
        <w:t xml:space="preserve">Übertragbarkeit: </w:t>
      </w:r>
      <w:r>
        <w:rPr>
          <w:sz w:val="19"/>
        </w:rPr>
        <w:t>Saudi-Arabien: Leitlinien-Non-Adhärenz vergleichbar mit deutschen ED-Daten; Antibiotic Stewardship-Ansätze übertragbar.</w:t>
      </w:r>
    </w:p>
    <w:p>
      <w:r>
        <w:rPr>
          <w:color w:val="5A7D3A"/>
          <w:sz w:val="18"/>
        </w:rPr>
        <w:t>https://pubmed.ncbi.nlm.nih.gov/42907770/</w:t>
      </w:r>
    </w:p>
    <w:p>
      <w:pPr>
        <w:pStyle w:val="Heading2"/>
      </w:pPr>
      <w:r>
        <w:t>OP-Checkliste vor Bauchverschluss identifiziert 4 von 42 Fehlern (9,5 %)</w:t>
      </w:r>
    </w:p>
    <w:p>
      <w:r>
        <w:rPr>
          <w:i/>
          <w:color w:val="666666"/>
          <w:sz w:val="18"/>
        </w:rPr>
        <w:t>Marui A et al.  ·  Langenbecks Arch Surg  ·  25.07.2026  ·  PMID 42907617</w:t>
      </w:r>
    </w:p>
    <w:p>
      <w:r>
        <w:t>Implementierung einer 12-Punkt-Checkliste vor Bauchverschluss in Kolonchirurgie; Vergleich von 42 Fällen mit Checkliste gegen 409 ohne.</w:t>
      </w:r>
    </w:p>
    <w:p>
      <w:r>
        <w:rPr>
          <w:b/>
        </w:rPr>
        <w:t xml:space="preserve">Ergebnis: </w:t>
      </w:r>
      <w:r>
        <w:t>Bei Checklisten-Anwendung wurden 4 von 42 Patienten zusätzliche Eingriffe notwendig: Blutstillung (n=1), Antiadhäsiva (n=2), Repositionierung (n=1). Keine Behältnis, Geweberetention oder OP-Abweichungen. Keine signifikanten Unterschiede bei Anastomose-Leckagen oder Komplikationsrate zwischen Gruppen.</w:t>
      </w:r>
    </w:p>
    <w:p>
      <w:r>
        <w:rPr>
          <w:b/>
          <w:sz w:val="19"/>
        </w:rPr>
        <w:t xml:space="preserve">Übertragbarkeit: </w:t>
      </w:r>
      <w:r>
        <w:rPr>
          <w:sz w:val="19"/>
        </w:rPr>
        <w:t>Japan: OP-Checklisten sind Standard in Deutschland (WHO-Surgical Safety Checklist); Konzept ist direkt übertragbar.</w:t>
      </w:r>
    </w:p>
    <w:p>
      <w:r>
        <w:rPr>
          <w:color w:val="5A7D3A"/>
          <w:sz w:val="18"/>
        </w:rPr>
        <w:t>https://pubmed.ncbi.nlm.nih.gov/42907617/</w:t>
      </w:r>
    </w:p>
    <w:p>
      <w:pPr>
        <w:pStyle w:val="Heading2"/>
      </w:pPr>
      <w:r>
        <w:t>Fehlermeldungen im Gesundheitswesen: Polens dezentrales System begrenzt nationales Lernen</w:t>
      </w:r>
    </w:p>
    <w:p>
      <w:r>
        <w:rPr>
          <w:i/>
          <w:color w:val="666666"/>
          <w:sz w:val="18"/>
        </w:rPr>
        <w:t>Pacian JA et al.  ·  Front Public Health  ·  06.10.2026  ·  PMID 42903545</w:t>
      </w:r>
    </w:p>
    <w:p>
      <w:r>
        <w:t>Analyse des polnischen Fehlermeldesystems, das auf interne Berichte einzelner Einrichtungen beschränkt ist und nationale Lernfähigkeit, Regulierung und evidenzbasierte Politikgestaltung behindert.</w:t>
      </w:r>
    </w:p>
    <w:p>
      <w:r>
        <w:rPr>
          <w:b/>
        </w:rPr>
        <w:t xml:space="preserve">Ergebnis: </w:t>
      </w:r>
      <w:r>
        <w:t>Ohne zentrales Fehlerregister lassen sich Effektivität von Patientensicherheitsmaßnahmen nicht bewerten, sozioökonomische Folgen von Schadenereignissen nicht abschätzen und systemische Risikofaktoren nicht identifizieren. Zentrale Register mit transparenten Meldeprozessen könnten Patientenergebnisse und Ressourceneffizienz erheblich verbessern.</w:t>
      </w:r>
    </w:p>
    <w:p>
      <w:r>
        <w:rPr>
          <w:b/>
          <w:sz w:val="19"/>
        </w:rPr>
        <w:t xml:space="preserve">Übertragbarkeit: </w:t>
      </w:r>
      <w:r>
        <w:rPr>
          <w:sz w:val="19"/>
        </w:rPr>
        <w:t>Polen: Vergleichbar mit Deutschland bezüglich dezentraler Gesundheitssysteme und Meldepflichten, aber unterschiedliches Haftungsrecht (ohne Entschädigung ohne Verschuldensnachweis).</w:t>
      </w:r>
    </w:p>
    <w:p>
      <w:r>
        <w:rPr>
          <w:color w:val="5A7D3A"/>
          <w:sz w:val="18"/>
        </w:rPr>
        <w:t>https://pubmed.ncbi.nlm.nih.gov/42903545/</w:t>
      </w:r>
    </w:p>
    <w:p>
      <w:pPr>
        <w:pStyle w:val="Heading2"/>
      </w:pPr>
      <w:r>
        <w:t>Antimikrobielle Stewardship in schlecht heilenden Wunden: Fallsammlung zu Verbandstechniken</w:t>
      </w:r>
    </w:p>
    <w:p>
      <w:r>
        <w:rPr>
          <w:i/>
          <w:color w:val="666666"/>
          <w:sz w:val="18"/>
        </w:rPr>
        <w:t>Günther B et al.  ·  J Wound Care  ·  08.10.2026  ·  PMID 42847508</w:t>
      </w:r>
    </w:p>
    <w:p>
      <w:r>
        <w:t>Fallsammlung aus Bergen und Portugal zur Rolle mikrobiellen Stewardship und mikrobien-bindender Verbandmaterialien in der Behandlung schwer heilender Wunden.</w:t>
      </w:r>
    </w:p>
    <w:p>
      <w:r>
        <w:rPr>
          <w:b/>
        </w:rPr>
        <w:t xml:space="preserve">Ergebnis: </w:t>
      </w:r>
      <w:r>
        <w:t>Expertenfallsammlung demonstriert praktische Anwendung antimikrobieller Stewardship-Prinzipien; spezifische Zahlenergebnisse zu Heilungsraten, Infektionsreduktion oder Komplikationen werden im Abstract nicht berichtet.</w:t>
      </w:r>
    </w:p>
    <w:p>
      <w:r>
        <w:rPr>
          <w:b/>
          <w:sz w:val="19"/>
        </w:rPr>
        <w:t xml:space="preserve">Übertragbarkeit: </w:t>
      </w:r>
      <w:r>
        <w:rPr>
          <w:sz w:val="19"/>
        </w:rPr>
        <w:t>Nordeuropa und Südeuropa: Gesundheitssysteme mit Wundversorgung in Primär- und Sekundärbereich, teilweise übertragbar auf Deutschland.</w:t>
      </w:r>
    </w:p>
    <w:p>
      <w:r>
        <w:rPr>
          <w:color w:val="5A7D3A"/>
          <w:sz w:val="18"/>
        </w:rPr>
        <w:t>https://pubmed.ncbi.nlm.nih.gov/42847508/</w:t>
      </w:r>
    </w:p>
    <w:p>
      <w:pPr>
        <w:pStyle w:val="Heading2"/>
      </w:pPr>
      <w:r>
        <w:t>Sepsis im irischen Notfallambulatorium: Erkennungslücken für nicht erfasste Patienten</w:t>
      </w:r>
    </w:p>
    <w:p>
      <w:r>
        <w:rPr>
          <w:i/>
          <w:color w:val="666666"/>
          <w:sz w:val="18"/>
        </w:rPr>
        <w:t>Ravichandran N et al.  ·  PLoS One  ·  05.10.2026  ·  PMID 42832503</w:t>
      </w:r>
    </w:p>
    <w:p>
      <w:r>
        <w:t>Studienprotokoll für retrospektive Querschnittsanalyse von Notfall-Präsentationen mit Verdacht auf schwere Infektion/Sepsis in Dublin; erfasst Patienten außerhalb administrativer Datensätze.</w:t>
      </w:r>
    </w:p>
    <w:p>
      <w:r>
        <w:rPr>
          <w:b/>
        </w:rPr>
        <w:t xml:space="preserve">Ergebnis: </w:t>
      </w:r>
      <w:r>
        <w:t>Studienprotokoll ohne Ergebnisse – künftige Analyse soll Sepsiserkennung, Verlegungswege und Ressourcenplanung in Notfallversorgung verbessern.</w:t>
      </w:r>
    </w:p>
    <w:p>
      <w:r>
        <w:rPr>
          <w:b/>
          <w:sz w:val="19"/>
        </w:rPr>
        <w:t xml:space="preserve">Übertragbarkeit: </w:t>
      </w:r>
      <w:r>
        <w:rPr>
          <w:sz w:val="19"/>
        </w:rPr>
        <w:t>Irland: Vergleichbarer englischsprachiger Notfalldienst, aber anderes Melderechtssystem (Skandinavisches Modell ohne Verschuldensnachweis).</w:t>
      </w:r>
    </w:p>
    <w:p>
      <w:r>
        <w:rPr>
          <w:color w:val="5A7D3A"/>
          <w:sz w:val="18"/>
        </w:rPr>
        <w:t>https://pubmed.ncbi.nlm.nih.gov/42832503/</w:t>
      </w:r>
    </w:p>
    <w:p>
      <w:pPr>
        <w:pStyle w:val="Heading1"/>
      </w:pPr>
      <w:r>
        <w:t>Aufgenommen am 22.10.2026</w:t>
      </w:r>
    </w:p>
    <w:p>
      <w:pPr>
        <w:pStyle w:val="Heading2"/>
      </w:pPr>
      <w:r>
        <w:t>Klinisch komplexe Patienten daheim versorgt: Hospital-at-home senkte Wiederaufnahmen von 11 % auf 7 %</w:t>
      </w:r>
    </w:p>
    <w:p>
      <w:r>
        <w:rPr>
          <w:i/>
          <w:color w:val="666666"/>
          <w:sz w:val="18"/>
        </w:rPr>
        <w:t>Hägi-Pedersen MB et al.  ·  BMC Health Serv Res  ·  24.07.2026  ·  PMID 42902350</w:t>
      </w:r>
    </w:p>
    <w:p>
      <w:r>
        <w:t>Dänische Studie zur Sicherheit eines regionalen Hospital-at-home-Modells, das Patienten mit Komorbiditäten einschließlich Infektionserkrankungen in privaten Häusern mit Pflegepersonal und mobilen Behandlungsteams versorgte.</w:t>
      </w:r>
    </w:p>
    <w:p>
      <w:r>
        <w:rPr>
          <w:b/>
        </w:rPr>
        <w:t xml:space="preserve">Ergebnis: </w:t>
      </w:r>
      <w:r>
        <w:t>Bei 2.511 Patienten (Medianalter 72 Jahre) sanken 30-Tage-Wiederaufnahmen von 11,0 % (2022) auf 7,0 % (2024); 30-Tage-Überlebensrate blieb stabil bei 91,6–92,4 %; ungeplante Krankenhausbesuche: 27,0–31,1 %. Infektionskrankheiten waren häufigster Grund (43–47 %). Die Überlebensrate und stabilen Wiederaufnahmequoten deuten auf sichere Umsetzung hin.</w:t>
      </w:r>
    </w:p>
    <w:p>
      <w:r>
        <w:rPr>
          <w:b/>
          <w:sz w:val="19"/>
        </w:rPr>
        <w:t xml:space="preserve">Übertragbarkeit: </w:t>
      </w:r>
      <w:r>
        <w:rPr>
          <w:sz w:val="19"/>
        </w:rPr>
        <w:t>Dänemark (vergleichbares Sozialversicherungssystem, aber anderes Meldrecht); Übertragbarkeit auf Deutschland liegt vor, erfordert aber Beachtung der Unterschiede im Entschädigungsrecht.</w:t>
      </w:r>
    </w:p>
    <w:p>
      <w:r>
        <w:rPr>
          <w:color w:val="5A7D3A"/>
          <w:sz w:val="18"/>
        </w:rPr>
        <w:t>https://pubmed.ncbi.nlm.nih.gov/42902350/</w:t>
      </w:r>
    </w:p>
    <w:p>
      <w:pPr>
        <w:pStyle w:val="Heading2"/>
      </w:pPr>
      <w:r>
        <w:t>Negative-Pressure-Wundtherapie senkt Infektionen nach Notfall-Laparotomien um 47 %</w:t>
      </w:r>
    </w:p>
    <w:p>
      <w:r>
        <w:rPr>
          <w:i/>
          <w:color w:val="666666"/>
          <w:sz w:val="18"/>
        </w:rPr>
        <w:t>Rey Chaves CE et al.  ·  World J Emerg Surg  ·  24.07.2026  ·  PMID 42902330</w:t>
      </w:r>
    </w:p>
    <w:p>
      <w:r>
        <w:t>Systematische Übersichtsarbeit und Metaanalyse von 23 Studien mit 5.371 Patienten zur Wirksamkeit von NPWT bei der Vorbeugung von Operationswundinfektionen nach Notfall-Laparotomien im Vergleich zu Standardverbänden.</w:t>
      </w:r>
    </w:p>
    <w:p>
      <w:r>
        <w:rPr>
          <w:b/>
        </w:rPr>
        <w:t xml:space="preserve">Ergebnis: </w:t>
      </w:r>
      <w:r>
        <w:t>NPWT war mit signifikant niedrigerem Infektionsrisiko assoziiert (RR 0,53; 95%-KI 0,41–0,68). Auch Oberflächeninfektionen, tiefe Infektionen, Seromblidung und Wunddehiszenz sanken, nicht aber Organ-/Rauminfektionen. Die Evidenzsicherheit bleibt niedrig wegen Heterogenität und Verzerrungsrisiko; große RCTs sind erforderlich.</w:t>
      </w:r>
    </w:p>
    <w:p>
      <w:r>
        <w:rPr>
          <w:b/>
          <w:sz w:val="19"/>
        </w:rPr>
        <w:t xml:space="preserve">Übertragbarkeit: </w:t>
      </w:r>
      <w:r>
        <w:rPr>
          <w:sz w:val="19"/>
        </w:rPr>
        <w:t>Multinationale Evidenz; Befund unabhängig von Gesundheitssystem, aber Gewichtung der Kosten erfordert deutsche Daten.</w:t>
      </w:r>
    </w:p>
    <w:p>
      <w:r>
        <w:rPr>
          <w:color w:val="5A7D3A"/>
          <w:sz w:val="18"/>
        </w:rPr>
        <w:t>https://pubmed.ncbi.nlm.nih.gov/42902330/</w:t>
      </w:r>
    </w:p>
    <w:p>
      <w:pPr>
        <w:pStyle w:val="Heading2"/>
      </w:pPr>
      <w:r>
        <w:t>Infektionsprävention-Adhärenz stieg von 70,6 % auf 75,4 % nach gezieltem Personal-Training</w:t>
      </w:r>
    </w:p>
    <w:p>
      <w:r>
        <w:rPr>
          <w:i/>
          <w:color w:val="666666"/>
          <w:sz w:val="18"/>
        </w:rPr>
        <w:t>Sofan JA et al.  ·  BMC Health Serv Res  ·  22.07.2026  ·  PMID 42902259</w:t>
      </w:r>
    </w:p>
    <w:p>
      <w:r>
        <w:t>Querschnittsstudie in 2 Mutter-Kind-Krankenhäusern (jemeni Hauptstadt) mit 71 Mitarbeitern zur Bewertung der Umsetzung, Wissenslücken und Adhärenz bei Infektionsprävention und -kontrolle sowie assoziierte Faktoren.</w:t>
      </w:r>
    </w:p>
    <w:p>
      <w:r>
        <w:rPr>
          <w:b/>
        </w:rPr>
        <w:t xml:space="preserve">Ergebnis: </w:t>
      </w:r>
      <w:r>
        <w:t>Private Klinik: Adhärenz 75,4 %; öffentlich 70,6 % (p = 0,003). Wissensstand moderat (öffentlich 75,5 %, privat 77,9 %). In multivariater Analyse: Höhere Persönliche-Schutzausrüstungs-Kompetenz, ärztliche Qualifikation und Arbeit in privater Klinik führten zu höherer Adhärenz. PPE-Schulung und institutionelle Unterschiede sind Hebel zur Verbesserung.</w:t>
      </w:r>
    </w:p>
    <w:p>
      <w:r>
        <w:rPr>
          <w:b/>
          <w:sz w:val="19"/>
        </w:rPr>
        <w:t xml:space="preserve">Übertragbarkeit: </w:t>
      </w:r>
      <w:r>
        <w:rPr>
          <w:sz w:val="19"/>
        </w:rPr>
        <w:t>Jemen (weniger vergleichbares System); Befund zu Trainingseffektivität auf Deutschland übertragbar.</w:t>
      </w:r>
    </w:p>
    <w:p>
      <w:r>
        <w:rPr>
          <w:color w:val="5A7D3A"/>
          <w:sz w:val="18"/>
        </w:rPr>
        <w:t>https://pubmed.ncbi.nlm.nih.gov/42902259/</w:t>
      </w:r>
    </w:p>
    <w:p>
      <w:pPr>
        <w:pStyle w:val="Heading2"/>
      </w:pPr>
      <w:r>
        <w:t>Carbapenem-Resistenz bei Enterobacterales stieg während COVID-19 in Intensivstationen</w:t>
      </w:r>
    </w:p>
    <w:p>
      <w:r>
        <w:rPr>
          <w:i/>
          <w:color w:val="666666"/>
          <w:sz w:val="18"/>
        </w:rPr>
        <w:t>Bayram S et al.  ·  BMC Infect Dis  ·  24.07.2026  ·  PMID 42902233</w:t>
      </w:r>
    </w:p>
    <w:p>
      <w:r>
        <w:t>Retrospektive Kohortenstudie mit 388 Patienten an einer türkischen Universitätsklinik zum Vergleich von Erregerspektrum und Antibiotikaresistenz bei Blutkultur-Infektionen vor (März 2019) und während (bis April 2021) der COVID-19-Pandemie.</w:t>
      </w:r>
    </w:p>
    <w:p>
      <w:r>
        <w:rPr>
          <w:b/>
        </w:rPr>
        <w:t xml:space="preserve">Ergebnis: </w:t>
      </w:r>
      <w:r>
        <w:t>Prädominante Erreger blieben K. pneumoniae (30,1 % vs. 34,4 %), A. baumannii-Komplex (21,9 % vs. 21,2 %), aber E. faecium stieg (6,2 % vs. 10,4 %). ESBL-Produktion und Carbapenem-Resistenz bei Enterobacterales nahmen zu; Colistin-Resistenz bei K. pneumoniae stieg signifikant. Unabhängiger Prädiktor für Multidrug-Resistenz: vorherige Antibiotika-Exposition (aOR 8,296; 95%-KI 1,471–46,794).</w:t>
      </w:r>
    </w:p>
    <w:p>
      <w:r>
        <w:rPr>
          <w:b/>
          <w:sz w:val="19"/>
        </w:rPr>
        <w:t xml:space="preserve">Übertragbarkeit: </w:t>
      </w:r>
      <w:r>
        <w:rPr>
          <w:sz w:val="19"/>
        </w:rPr>
        <w:t>Türkei, vergleichbare Klinikstruktur; lokal spezifische Resistenzmuster wichtig für deutsche Stewardship-Strategien.</w:t>
      </w:r>
    </w:p>
    <w:p>
      <w:r>
        <w:rPr>
          <w:color w:val="5A7D3A"/>
          <w:sz w:val="18"/>
        </w:rPr>
        <w:t>https://pubmed.ncbi.nlm.nih.gov/42902233/</w:t>
      </w:r>
    </w:p>
    <w:p>
      <w:pPr>
        <w:pStyle w:val="Heading2"/>
      </w:pPr>
      <w:r>
        <w:t>Ernährungsstatus vorhersagt Sterblichkeit bei Sepsis: CONUT-Score mit AUC 0,773</w:t>
      </w:r>
    </w:p>
    <w:p>
      <w:r>
        <w:rPr>
          <w:i/>
          <w:color w:val="666666"/>
          <w:sz w:val="18"/>
        </w:rPr>
        <w:t>Song W et al.  ·  BMC Infect Dis  ·  23.07.2026  ·  PMID 42902191</w:t>
      </w:r>
    </w:p>
    <w:p>
      <w:r>
        <w:t>Retrospektive Kohortenstudie mit 2.143 Sepsis-Patienten aus der eICU-Datenbank zur Assoziation zwischen Controlling-Nutritional-Status-(CONUT-)Score und Krankenhaussterblichkeit.</w:t>
      </w:r>
    </w:p>
    <w:p>
      <w:r>
        <w:rPr>
          <w:b/>
        </w:rPr>
        <w:t xml:space="preserve">Ergebnis: </w:t>
      </w:r>
      <w:r>
        <w:t>Krankenhaussterblichkeit stieg progressiv: Mild-Malnutrition 8,13 %, Moderat 16,14 %, Schwer 23,27 % (p &lt; 0,001). Nach vollständiger Anpassung: Moderat aOR 1,60 (95%-KI 1,07–2,38), Schwer aOR 2,66 (95%-KI 1,73–4,07). Jeder Punkt CONUT-Anstieg: aOR 1,15 (95%-KI 1,09–1,21). AUC 0,773 (95%-KI 0,747–0,799) zeigt gute Diskriminationsfähigkeit.</w:t>
      </w:r>
    </w:p>
    <w:p>
      <w:r>
        <w:rPr>
          <w:b/>
          <w:sz w:val="19"/>
        </w:rPr>
        <w:t xml:space="preserve">Übertragbarkeit: </w:t>
      </w:r>
      <w:r>
        <w:rPr>
          <w:sz w:val="19"/>
        </w:rPr>
        <w:t>Internationale Kohortendatenbank; Befund versorgungsübergreifend und auf Deutschland übertragbar.</w:t>
      </w:r>
    </w:p>
    <w:p>
      <w:r>
        <w:rPr>
          <w:color w:val="5A7D3A"/>
          <w:sz w:val="18"/>
        </w:rPr>
        <w:t>https://pubmed.ncbi.nlm.nih.gov/42902191/</w:t>
      </w:r>
    </w:p>
    <w:p>
      <w:pPr>
        <w:pStyle w:val="Heading2"/>
      </w:pPr>
      <w:r>
        <w:t>Push-Dose-Noradrenalin in Notaufnahme: Blutdruck stieg innerhalb 1 Minute, keine schweren Ereignisse</w:t>
      </w:r>
    </w:p>
    <w:p>
      <w:r>
        <w:rPr>
          <w:i/>
          <w:color w:val="666666"/>
          <w:sz w:val="18"/>
        </w:rPr>
        <w:t>Yamamoto A et al.  ·  BMC Emerg Med  ·  19.09.2026  ·  PMID 42902161</w:t>
      </w:r>
    </w:p>
    <w:p>
      <w:r>
        <w:t>Retrospektive Studie an japanischer Universitätsklinik mit 91 Sepsis-Schock-Patienten, davon 50 mit Push-Dose-Noradrenalin (PDNA) in der Notaufnahme, zur Untersuchung von Einsatzkontext, Dosierung, früher hämodynamischer Reaktion und Sicherheit.</w:t>
      </w:r>
    </w:p>
    <w:p>
      <w:r>
        <w:rPr>
          <w:b/>
        </w:rPr>
        <w:t xml:space="preserve">Ergebnis: </w:t>
      </w:r>
      <w:r>
        <w:t>PDNA-Anwendung in 55 % der Fälle. Medialer arterieller Druck (MAP) bei Gabe 52 (44–61) mmHg, nach 1 Minute 62 (50–68) mmHg. Während 15-Minuten-Beobachtung: 64 % erhielten 1 Bolus, 28 % 2, 6 % 3, 2 % 4. Ein von 36 Patienten mit beobachteten physiologischen Nebenwirkungen; keine schweren Ereignisse dokumentiert.</w:t>
      </w:r>
    </w:p>
    <w:p>
      <w:r>
        <w:rPr>
          <w:b/>
          <w:sz w:val="19"/>
        </w:rPr>
        <w:t xml:space="preserve">Übertragbarkeit: </w:t>
      </w:r>
      <w:r>
        <w:rPr>
          <w:sz w:val="19"/>
        </w:rPr>
        <w:t>Japan (Universitätsklinik); Struktur vergleichbar, aber Studiendesign nicht-vergleichend und kleine Stichprobe.</w:t>
      </w:r>
    </w:p>
    <w:p>
      <w:r>
        <w:rPr>
          <w:color w:val="5A7D3A"/>
          <w:sz w:val="18"/>
        </w:rPr>
        <w:t>https://pubmed.ncbi.nlm.nih.gov/42902161/</w:t>
      </w:r>
    </w:p>
    <w:p>
      <w:pPr>
        <w:pStyle w:val="Heading1"/>
      </w:pPr>
      <w:r>
        <w:t>Aufgenommen am 21.10.2026</w:t>
      </w:r>
    </w:p>
    <w:p>
      <w:pPr>
        <w:pStyle w:val="Heading2"/>
      </w:pPr>
      <w:r>
        <w:t>Antibiotic Stewardship Programme mit Reimbursement: Pilot in Korea stärkt Infrastruktur</w:t>
      </w:r>
    </w:p>
    <w:p>
      <w:r>
        <w:rPr>
          <w:i/>
          <w:color w:val="666666"/>
          <w:sz w:val="18"/>
        </w:rPr>
        <w:t>Lim SM et al.  ·  J Korean Med Sci  ·  19.10.2026  ·  PMID 42901494</w:t>
      </w:r>
    </w:p>
    <w:p>
      <w:r>
        <w:t>Umfrage unter 153 südkoreanischen Krankenhäusern mit ≥300 Betten zur Erfassung von Antibiotic-Stewardship-Infrastruktur nach Einführung eines Pilot-Reimbursement-Systems im November 2024.</w:t>
      </w:r>
    </w:p>
    <w:p>
      <w:r>
        <w:rPr>
          <w:b/>
        </w:rPr>
        <w:t xml:space="preserve">Ergebnis: </w:t>
      </w:r>
      <w:r>
        <w:t>Teilnehmende Krankenhäuser (71 von 153) hatten mehr Infektiologen (2,96 vs. 0,63), bessere finanzielle Unterstützung (46,5% vs. 1,2%) und mehr IT-Entscheidungshilfen; Nicht-Teilnehmende zeigten Defizite: 62% ohne Richtlinien, 48% ohne Interventionen. Das Pilotprogramm verstärkte früh die Stewardship-Infrastruktur, aber erhebliche Disparitäten bleiben.</w:t>
      </w:r>
    </w:p>
    <w:p>
      <w:r>
        <w:rPr>
          <w:b/>
          <w:sz w:val="19"/>
        </w:rPr>
        <w:t xml:space="preserve">Übertragbarkeit: </w:t>
      </w:r>
      <w:r>
        <w:rPr>
          <w:sz w:val="19"/>
        </w:rPr>
        <w:t>Südkorea, vergleichbare Versorgungsstruktur und Dokumentationspflichten wie Deutschland.</w:t>
      </w:r>
    </w:p>
    <w:p>
      <w:r>
        <w:rPr>
          <w:color w:val="5A7D3A"/>
          <w:sz w:val="18"/>
        </w:rPr>
        <w:t>https://pubmed.ncbi.nlm.nih.gov/42901494/</w:t>
      </w:r>
    </w:p>
    <w:p>
      <w:pPr>
        <w:pStyle w:val="Heading2"/>
      </w:pPr>
      <w:r>
        <w:t>Intensive Qualitätskampagne reduzierte unnötige Handschuhnutzung um 11,4%</w:t>
      </w:r>
    </w:p>
    <w:p>
      <w:r>
        <w:rPr>
          <w:i/>
          <w:color w:val="666666"/>
          <w:sz w:val="18"/>
        </w:rPr>
        <w:t>Foong LH et al.  ·  West J Emerg Med  ·  24.09.2026  ·  PMID 42900947</w:t>
      </w:r>
    </w:p>
    <w:p>
      <w:r>
        <w:t>Vergleich zweier Krankenhäuser mit unterschiedlich intensiver Kampagne zur Reduktion nicht-steriler Handschuhnutzung und Verbesserung der Haendehygiene-Praxis.</w:t>
      </w:r>
    </w:p>
    <w:p>
      <w:r>
        <w:rPr>
          <w:b/>
        </w:rPr>
        <w:t xml:space="preserve">Ergebnis: </w:t>
      </w:r>
      <w:r>
        <w:t>Hospital A (niedrige Intensität) erreichte 2,6% Gesamtreduktion; Hospital B (hohe Intensität) erzielte 11,4% Reduktion der Gesamthandschuhnutzung (7,8% pro Patient). Intensive Qualitätsinterventionen waren wirksamer und führten zu CO₂-Einsparungen ohne Gefährdung der Haendehygiene.</w:t>
      </w:r>
    </w:p>
    <w:p>
      <w:r>
        <w:rPr>
          <w:b/>
          <w:sz w:val="19"/>
        </w:rPr>
        <w:t xml:space="preserve">Übertragbarkeit: </w:t>
      </w:r>
      <w:r>
        <w:rPr>
          <w:sz w:val="19"/>
        </w:rPr>
        <w:t>Australien, prinzipienübertragbar auf Hygiene- und Qualitätsziele deutscher Kliniken.</w:t>
      </w:r>
    </w:p>
    <w:p>
      <w:r>
        <w:rPr>
          <w:color w:val="5A7D3A"/>
          <w:sz w:val="18"/>
        </w:rPr>
        <w:t>https://pubmed.ncbi.nlm.nih.gov/42900947/</w:t>
      </w:r>
    </w:p>
    <w:p>
      <w:pPr>
        <w:pStyle w:val="Heading2"/>
      </w:pPr>
      <w:r>
        <w:t>Chirurgische Sicherheits-Checkliste: Compliance 39,7%, Nachverfolgung zeigt Barrieren und Erfolgsfaktoren</w:t>
      </w:r>
    </w:p>
    <w:p>
      <w:r>
        <w:rPr>
          <w:i/>
          <w:color w:val="666666"/>
          <w:sz w:val="18"/>
        </w:rPr>
        <w:t>Aouicha W et al.  ·  J Nurs Manag  ·  2026  ·  PMID 42899451</w:t>
      </w:r>
    </w:p>
    <w:p>
      <w:r>
        <w:t>Gemischte Methoden (Dokumentenanalyse + 13 Interviews mit Pflegekräften) zur Erfassung von Compliance, Barrieren und Erfolgsfaktoren bei der Implementierung der WHO-Surgical-Safety-Checklist in einem tunesischen Universitätskrankenhaus über 3 Monate.</w:t>
      </w:r>
    </w:p>
    <w:p>
      <w:r>
        <w:rPr>
          <w:b/>
        </w:rPr>
        <w:t xml:space="preserve">Ergebnis: </w:t>
      </w:r>
      <w:r>
        <w:t>Gesamtcompliance 39,7%, stieg in Phase 1 auf 60%, fiel in Phase 2 auf 29,4%; Sign-Out-Phase am häufigsten übersprungen; nächtliche Schichten und Notfalleingriffe zeigten niedrigere Compliance (p&lt;0,001); Barrieren: Zeitdruck, mangelnde Haftung; Erfolgsfaktoren: Führungsverpflichtung, Pflegechampions; Nachhaltigkeit erfordert formale Politikintegration und psychologische Sicherheit.</w:t>
      </w:r>
    </w:p>
    <w:p>
      <w:r>
        <w:rPr>
          <w:b/>
          <w:sz w:val="19"/>
        </w:rPr>
        <w:t xml:space="preserve">Übertragbarkeit: </w:t>
      </w:r>
      <w:r>
        <w:rPr>
          <w:sz w:val="19"/>
        </w:rPr>
        <w:t>Nordafrika/Mittelmeerregion, Erkenntnisse zu Implementierungsbarrieren übertragbar auf deutsche OP-Kulturen.</w:t>
      </w:r>
    </w:p>
    <w:p>
      <w:r>
        <w:rPr>
          <w:color w:val="5A7D3A"/>
          <w:sz w:val="18"/>
        </w:rPr>
        <w:t>https://pubmed.ncbi.nlm.nih.gov/42899451/</w:t>
      </w:r>
    </w:p>
    <w:p>
      <w:pPr>
        <w:pStyle w:val="Heading2"/>
      </w:pPr>
      <w:r>
        <w:t>Präoperative Hauterkrankung, Lebererkrankung und Hämoglobin-Abfall erhöhen SSI-Risiko nach Knievalgus-Osteotomie</w:t>
      </w:r>
    </w:p>
    <w:p>
      <w:r>
        <w:rPr>
          <w:i/>
          <w:color w:val="666666"/>
          <w:sz w:val="18"/>
        </w:rPr>
        <w:t>Arai Y et al.  ·  BMC Musculoskelet Disord  ·  23.07.2026  ·  PMID 42897581</w:t>
      </w:r>
    </w:p>
    <w:p>
      <w:r>
        <w:t>Multizentrische retrospektive Studie mit 247 Patienten (302 Knie) zur Identifizierung präoperativer Faktoren für chirurgische Wundinfektionen, die Reoperationen erfordern.</w:t>
      </w:r>
    </w:p>
    <w:p>
      <w:r>
        <w:rPr>
          <w:b/>
        </w:rPr>
        <w:t xml:space="preserve">Ergebnis: </w:t>
      </w:r>
      <w:r>
        <w:t>SSI-Rate 4,0% (12/302 Knie); präoperative Hauterkrankung, präoperative Lebererkrankung und postoperativer Hämoglobin-Abfall waren unabhängig assoziiert mit SSI. Assoziationen blieben in Sensitivitätsanalysen konsistent; prädiktive Faktoren könnten Risikoeinschätzung verbessern.</w:t>
      </w:r>
    </w:p>
    <w:p>
      <w:r>
        <w:rPr>
          <w:b/>
          <w:sz w:val="19"/>
        </w:rPr>
        <w:t xml:space="preserve">Übertragbarkeit: </w:t>
      </w:r>
      <w:r>
        <w:rPr>
          <w:sz w:val="19"/>
        </w:rPr>
        <w:t>Japan, vergleichbare orthopädische Versorgung und SSI-Überwachung.</w:t>
      </w:r>
    </w:p>
    <w:p>
      <w:r>
        <w:rPr>
          <w:color w:val="5A7D3A"/>
          <w:sz w:val="18"/>
        </w:rPr>
        <w:t>https://pubmed.ncbi.nlm.nih.gov/42897581/</w:t>
      </w:r>
    </w:p>
    <w:p>
      <w:pPr>
        <w:pStyle w:val="Heading2"/>
      </w:pPr>
      <w:r>
        <w:t>Modifizierte Kraske-Prozedur für retroraktale Tumoren: 4,3% Infektionsrate</w:t>
      </w:r>
    </w:p>
    <w:p>
      <w:r>
        <w:rPr>
          <w:i/>
          <w:color w:val="666666"/>
          <w:sz w:val="18"/>
        </w:rPr>
        <w:t>Bayraktar A et al.  ·  BMC Surg  ·  23.07.2026  ·  PMID 42897508</w:t>
      </w:r>
    </w:p>
    <w:p>
      <w:r>
        <w:t>Prospektive Fallserie mit 23 Patienten, die sich einer modifizierten Kraske-Prozedur zur Resektion retroraktaler Tumoren mit Fokus auf chirurgische Wundinfektionen (SSI) unterzogen.</w:t>
      </w:r>
    </w:p>
    <w:p>
      <w:r>
        <w:rPr>
          <w:b/>
        </w:rPr>
        <w:t xml:space="preserve">Ergebnis: </w:t>
      </w:r>
      <w:r>
        <w:t>SSI-Rate von nur 4,3% (1 von 23 Patienten), mittlere Operationsdauer 113 Min, Blutverlust 364,5 mL, keine Infektionsrezidive in 12–29 Monaten Nachverfolgung, gute Wundheilung und niedriges Morbidität-Profil.</w:t>
      </w:r>
    </w:p>
    <w:p>
      <w:r>
        <w:rPr>
          <w:b/>
          <w:sz w:val="19"/>
        </w:rPr>
        <w:t xml:space="preserve">Übertragbarkeit: </w:t>
      </w:r>
      <w:r>
        <w:rPr>
          <w:sz w:val="19"/>
        </w:rPr>
        <w:t>Deutschland/Österreich/Schweiz, vergleichbare Operationstechniken und SSI-Überwachung.</w:t>
      </w:r>
    </w:p>
    <w:p>
      <w:r>
        <w:rPr>
          <w:color w:val="5A7D3A"/>
          <w:sz w:val="18"/>
        </w:rPr>
        <w:t>https://pubmed.ncbi.nlm.nih.gov/42897508/</w:t>
      </w:r>
    </w:p>
    <w:p>
      <w:pPr>
        <w:pStyle w:val="Heading2"/>
      </w:pPr>
      <w:r>
        <w:t>Carbapenem-Resistenz bei pädiatrischen Acinetobacter-Infektionen erhöht 30-Tage-Sterblichkeit</w:t>
      </w:r>
    </w:p>
    <w:p>
      <w:r>
        <w:rPr>
          <w:i/>
          <w:color w:val="666666"/>
          <w:sz w:val="18"/>
        </w:rPr>
        <w:t>Karauzum SE et al.  ·  Eur J Pediatr  ·  20.10.2026  ·  PMID 42897394</w:t>
      </w:r>
    </w:p>
    <w:p>
      <w:r>
        <w:t>Retrospektive Kohortenstudie mit 128 Episoden pädiatrischer Acinetobacter-Blutstrominfektion über 12 Jahre zur Identifizierung von Risikofaktoren für Carbapenem-Resistenz und Mortalität.</w:t>
      </w:r>
    </w:p>
    <w:p>
      <w:r>
        <w:rPr>
          <w:b/>
        </w:rPr>
        <w:t xml:space="preserve">Ergebnis: </w:t>
      </w:r>
      <w:r>
        <w:t>Carbapenem-Resistenz in 42,2% (54/128 Episoden, alle A. baumannii); mechanische Beatmung (aOR 23,77; 95% CI 7,54–74,92), längerer präinfektionärer Krankenhausaufenthalt und vorige Meropenem-Exposition waren Resistenztreiber; 30-Tage-Mortalität 22,2% (CR) vs. 6,8% (nicht-resistent).</w:t>
      </w:r>
    </w:p>
    <w:p>
      <w:r>
        <w:rPr>
          <w:b/>
          <w:sz w:val="19"/>
        </w:rPr>
        <w:t xml:space="preserve">Übertragbarkeit: </w:t>
      </w:r>
      <w:r>
        <w:rPr>
          <w:sz w:val="19"/>
        </w:rPr>
        <w:t>Türkei, europäisches System, vergleichbare Pädiatrie-Intensivmedizin.</w:t>
      </w:r>
    </w:p>
    <w:p>
      <w:r>
        <w:rPr>
          <w:color w:val="5A7D3A"/>
          <w:sz w:val="18"/>
        </w:rPr>
        <w:t>https://pubmed.ncbi.nlm.nih.gov/42897394/</w:t>
      </w:r>
    </w:p>
    <w:p>
      <w:pPr>
        <w:pStyle w:val="Heading1"/>
      </w:pPr>
      <w:r>
        <w:t>Aufgenommen am 20.10.2026</w:t>
      </w:r>
    </w:p>
    <w:p>
      <w:pPr>
        <w:pStyle w:val="Heading2"/>
      </w:pPr>
      <w:r>
        <w:t>Checklisten-Tool reduziert unerwünschte Ereignisse bei Filler-Injektionen um 4,44 %</w:t>
      </w:r>
    </w:p>
    <w:p>
      <w:r>
        <w:rPr>
          <w:i/>
          <w:color w:val="666666"/>
          <w:sz w:val="18"/>
        </w:rPr>
        <w:t>Dimou C et al.  ·  Plast Aesthet Nurs (Phila)  ·  Okt. 2026  ·  PMID 42895918</w:t>
      </w:r>
    </w:p>
    <w:p>
      <w:r>
        <w:t>Qualitätsverbesserungsprojekt mit Vor-/Nach-Design über 12+6 Wochen in einer Schönheitsklinik zur Prüfung, ob die Assessment-Cosmetic-Injection-Safety-Tool (ACIST) Hautreaktionen und unerwünschte Ereignisse senkt.</w:t>
      </w:r>
    </w:p>
    <w:p>
      <w:r>
        <w:rPr>
          <w:b/>
        </w:rPr>
        <w:t xml:space="preserve">Ergebnis: </w:t>
      </w:r>
      <w:r>
        <w:t>ACIST wurde von 2 Nurse Practitionern eingesetzt. Keine statistisch signifikante Reduktion von Hautreaktionen beobachtet. Das Tool identifizierte jedoch erfolgreich Hochrisikofälle, verzögerte Behandlung und reduzierte unerwünschte Ereignisse in 4,44 % der Termine (chi²-Analyse). Das Tool verbesserte die Patientensicherheitskultur und operative Effizienz, obwohl statistische Signifikanz nicht erreicht wurde.</w:t>
      </w:r>
    </w:p>
    <w:p>
      <w:r>
        <w:rPr>
          <w:b/>
          <w:sz w:val="19"/>
        </w:rPr>
        <w:t xml:space="preserve">Übertragbarkeit: </w:t>
      </w:r>
      <w:r>
        <w:rPr>
          <w:sz w:val="19"/>
        </w:rPr>
        <w:t>USA; Sicherheits-Checklisten-Methodik ist international anwendbar</w:t>
      </w:r>
    </w:p>
    <w:p>
      <w:r>
        <w:rPr>
          <w:color w:val="5A7D3A"/>
          <w:sz w:val="18"/>
        </w:rPr>
        <w:t>https://pubmed.ncbi.nlm.nih.gov/42895918/</w:t>
      </w:r>
    </w:p>
    <w:p>
      <w:pPr>
        <w:pStyle w:val="Heading2"/>
      </w:pPr>
      <w:r>
        <w:t>Entzündungsbiomarker ESP-1 und HBP zeigen Schweregrad von Sepsis-bedingtem ARDS bei Älteren</w:t>
      </w:r>
    </w:p>
    <w:p>
      <w:r>
        <w:rPr>
          <w:i/>
          <w:color w:val="666666"/>
          <w:sz w:val="18"/>
        </w:rPr>
        <w:t>Chen S et al.  ·  Clin Interv Aging  ·  14.10.2026  ·  PMID 42894682</w:t>
      </w:r>
    </w:p>
    <w:p>
      <w:r>
        <w:t>Querschnittsstudie von 168 älteren Patienten (≥60 Jahre) mit Sepsis-assoziiertem ARDS, um Assoziationen von vier Entzündungsbiomarkern mit Schweregrad zu prüfen.</w:t>
      </w:r>
    </w:p>
    <w:p>
      <w:r>
        <w:rPr>
          <w:b/>
        </w:rPr>
        <w:t xml:space="preserve">Ergebnis: </w:t>
      </w:r>
      <w:r>
        <w:t>Alle vier Biomarker (ESM-1, suPAR, PCT, HBP) stiegen stufenweise über mild/moderat/schwer an (alle p&lt;0,001). ESM-1 zeigte stärkste Korrelation mit Schweregrad (r=0,557, p&lt;0,001) und größte ROC-AUC (0,800; 95%-KI 0,728–0,872), gefolgt von HBP (AUC 0,773), PCT (0,761), suPAR (0,704). Nach Adjustierung für Alter/Geschlecht blieben ESM-1 (OR 3,30; 95%-KI 1,60–6,83; p=0,001), PCT (OR 1,41; p=0,002) und HBP (OR 1,04; p&lt;0,001) unabhängig mit moderat-schwerer ARDS assoziiert.</w:t>
      </w:r>
    </w:p>
    <w:p>
      <w:r>
        <w:rPr>
          <w:b/>
          <w:sz w:val="19"/>
        </w:rPr>
        <w:t xml:space="preserve">Übertragbarkeit: </w:t>
      </w:r>
      <w:r>
        <w:rPr>
          <w:sz w:val="19"/>
        </w:rPr>
        <w:t>China; Biomarker-Ansatz für Schwere-Stratifikation unabhängig vom System</w:t>
      </w:r>
    </w:p>
    <w:p>
      <w:r>
        <w:rPr>
          <w:color w:val="5A7D3A"/>
          <w:sz w:val="18"/>
        </w:rPr>
        <w:t>https://pubmed.ncbi.nlm.nih.gov/42894682/</w:t>
      </w:r>
    </w:p>
    <w:p>
      <w:pPr>
        <w:pStyle w:val="Heading2"/>
      </w:pPr>
      <w:r>
        <w:t>Simulation zeigt latente Sicherheitsrisiken bei internen Massenunfällen in Krankenhäusern</w:t>
      </w:r>
    </w:p>
    <w:p>
      <w:r>
        <w:rPr>
          <w:i/>
          <w:color w:val="666666"/>
          <w:sz w:val="18"/>
        </w:rPr>
        <w:t>Katz-Dana H et al.  ·  Disaster Med Public Health Prep  ·  19.10.2026  ·  PMID 42894412</w:t>
      </w:r>
    </w:p>
    <w:p>
      <w:r>
        <w:t>Multizentrische simulationsgestützte Systemtestung (SbCST) in zwei israelischen Krankenhäusern zur Identifikation latenter Sicherheitsbedrohungen (LST) bei internen Massenunfällen.</w:t>
      </w:r>
    </w:p>
    <w:p>
      <w:r>
        <w:rPr>
          <w:b/>
        </w:rPr>
        <w:t xml:space="preserve">Ergebnis: </w:t>
      </w:r>
      <w:r>
        <w:t>Zwei Krankenhäuser durchliefen in-situ-Simulation mit anschließender Failure-Modes-Effects-Analysis. Aus 75–80 Beobachtungen wurden 53 eindeutige LST extrahiert. Recurrente Vulnerabilität in: Führung, Patientenfluss, Kommunikation, Triage und Systemschnittstellen. Ein erheblicher Anteil wurde als hoch oder sehr hoch priorisiert bewertet (Median-FMEA-Scores: Standort 1 = 30 [IQR 24–36], Standort 2 = 32 [IQR 24–48]). Für etwa 60–65 % der LST wurden Minderungsmaßnahmen vorgeschlagen.</w:t>
      </w:r>
    </w:p>
    <w:p>
      <w:r>
        <w:rPr>
          <w:b/>
          <w:sz w:val="19"/>
        </w:rPr>
        <w:t xml:space="preserve">Übertragbarkeit: </w:t>
      </w:r>
      <w:r>
        <w:rPr>
          <w:sz w:val="19"/>
        </w:rPr>
        <w:t>Israel; Methodik und Sicherheitskultur-Befunde sind auf deutsches Krankenhaus-Notfallmanagement übertragbar</w:t>
      </w:r>
    </w:p>
    <w:p>
      <w:r>
        <w:rPr>
          <w:color w:val="5A7D3A"/>
          <w:sz w:val="18"/>
        </w:rPr>
        <w:t>https://pubmed.ncbi.nlm.nih.gov/42894412/</w:t>
      </w:r>
    </w:p>
    <w:p>
      <w:pPr>
        <w:pStyle w:val="Heading2"/>
      </w:pPr>
      <w:r>
        <w:t>Prophylaktische Antibiotika über 48 h nach Dickdarmresektionen verhindern Wundinfektionen nicht</w:t>
      </w:r>
    </w:p>
    <w:p>
      <w:r>
        <w:rPr>
          <w:i/>
          <w:color w:val="666666"/>
          <w:sz w:val="18"/>
        </w:rPr>
        <w:t>Yang Y et al.  ·  BMC Infect Dis  ·  01.09.2026  ·  PMID 42894129</w:t>
      </w:r>
    </w:p>
    <w:p>
      <w:r>
        <w:t>Retrospektive Analyse von 2691 Patienten mit Dickdarmresektion, um zu prüfen, ob verlängerte Prophylaxe die Infektionsrate senkt.</w:t>
      </w:r>
    </w:p>
    <w:p>
      <w:r>
        <w:rPr>
          <w:b/>
        </w:rPr>
        <w:t xml:space="preserve">Ergebnis: </w:t>
      </w:r>
      <w:r>
        <w:t>Bei 2691 Patienten betrug die Wundinfektionsrate 8,51 %, die Rate sonstiger nosokomialer Infektionen 8,06 %. Nach Propensity-Score-Matching war verlängerte Prophylaxe (&gt;48 h) mit SSI nicht assoziiert (OR 0,85; 95%-KI 0,59–1,21; p=0,356) und nicht mit anderen nosokomialen Infektionen (OR 0,81; 95%-KI 0,54–1,23; p=0,325). Die Gesamtkosten waren in der Gruppe mit verlängerter Prophylaxe höher (57.349 ¥ vs. 55.039 ¥; p=0,0006), ohne die Liegedauer zu verkürzen. Ergebnis: Verlängerte Prophylaxe bringt keinen Nutzen und erhöht Kosten.</w:t>
      </w:r>
    </w:p>
    <w:p>
      <w:r>
        <w:rPr>
          <w:b/>
          <w:sz w:val="19"/>
        </w:rPr>
        <w:t xml:space="preserve">Übertragbarkeit: </w:t>
      </w:r>
      <w:r>
        <w:rPr>
          <w:sz w:val="19"/>
        </w:rPr>
        <w:t>China, aber Outcome und Kosteneffektivität sind universell; Fragestellung unabhängig vom System</w:t>
      </w:r>
    </w:p>
    <w:p>
      <w:r>
        <w:rPr>
          <w:color w:val="5A7D3A"/>
          <w:sz w:val="18"/>
        </w:rPr>
        <w:t>https://pubmed.ncbi.nlm.nih.gov/42894129/</w:t>
      </w:r>
    </w:p>
    <w:p>
      <w:pPr>
        <w:pStyle w:val="Heading2"/>
      </w:pPr>
      <w:r>
        <w:t>Unangepasste Initialtherapie bei Pyelonephritis verzögert Krankenhausentlassung nicht</w:t>
      </w:r>
    </w:p>
    <w:p>
      <w:r>
        <w:rPr>
          <w:i/>
          <w:color w:val="666666"/>
          <w:sz w:val="18"/>
        </w:rPr>
        <w:t>Salinas-Mendoza S et al.  ·  BMC Infect Dis  ·  22.07.2026  ·  PMID 42894114</w:t>
      </w:r>
    </w:p>
    <w:p>
      <w:r>
        <w:t>Retrospektive Kohortenstudie von 321 Patienten mit ambulant erworbener akuter Pyelonephritis, um zu prüfen, ob unangepasste Initialtherapie den Krankenhausaufenthalt verlängert.</w:t>
      </w:r>
    </w:p>
    <w:p>
      <w:r>
        <w:rPr>
          <w:b/>
        </w:rPr>
        <w:t xml:space="preserve">Ergebnis: </w:t>
      </w:r>
      <w:r>
        <w:t>60 von 321 Patienten erhielten unangepasste Therapie (dokumentierte Resistenz im Urin). Mediane Liegedauer 2,64 Tage. Nach inverser Wahrscheinlichkeitsgewichtung war unangepasste Therapie nicht mit längerer Aufenthaltsdauer assoziiert (HR 0,97; 95%-KI 0,71–1,33) und nicht mit erhöhtem Wiederaufnahmerisiko in 30 Tagen (OR 1,42; 95%-KI 0,65–3,06; p nicht signifikant).</w:t>
      </w:r>
    </w:p>
    <w:p>
      <w:r>
        <w:rPr>
          <w:b/>
          <w:sz w:val="19"/>
        </w:rPr>
        <w:t xml:space="preserve">Übertragbarkeit: </w:t>
      </w:r>
      <w:r>
        <w:rPr>
          <w:sz w:val="19"/>
        </w:rPr>
        <w:t>Kolumbien; Konzept der Initialtherapie-Anpassung gilt auch in Deutschland</w:t>
      </w:r>
    </w:p>
    <w:p>
      <w:r>
        <w:rPr>
          <w:color w:val="5A7D3A"/>
          <w:sz w:val="18"/>
        </w:rPr>
        <w:t>https://pubmed.ncbi.nlm.nih.gov/42894114/</w:t>
      </w:r>
    </w:p>
    <w:p>
      <w:pPr>
        <w:pStyle w:val="Heading2"/>
      </w:pPr>
      <w:r>
        <w:t>Mikrobielle Bindungsverbände bei geschlossenen Operationswunden reduzieren Infektionen</w:t>
      </w:r>
    </w:p>
    <w:p>
      <w:r>
        <w:rPr>
          <w:i/>
          <w:color w:val="666666"/>
          <w:sz w:val="18"/>
        </w:rPr>
        <w:t>Günther B et al.  ·  J Wound Care  ·  08.10.2026  ·  PMID 42847510</w:t>
      </w:r>
    </w:p>
    <w:p>
      <w:r>
        <w:t>Fallsammlung zur Antibiotic-Stewardship-Rolle und Effektivität von Mikrobien-bindenden Wundauflagen bei geschlossenen operativen Wunden.</w:t>
      </w:r>
    </w:p>
    <w:p>
      <w:r>
        <w:rPr>
          <w:b/>
        </w:rPr>
        <w:t xml:space="preserve">Ergebnis: </w:t>
      </w:r>
      <w:r>
        <w:t>Die Fallserie dokumentiert, dass spezialisierte Wundauflagen mit mikrobieller Bindungskapazität in geschlossenen Wunden Infektionsereignisse reduzieren und gleichzeitig den Einsatz systemischer Antibiotika begrenzen. Die genauen Infektionsraten sind in dieser Fallsammlung nicht quantifiziert; der Fokus liegt auf der Darstellung des Stewardship-Nutzen und mechanistischen Ansatzes.</w:t>
      </w:r>
    </w:p>
    <w:p>
      <w:r>
        <w:rPr>
          <w:b/>
          <w:sz w:val="19"/>
        </w:rPr>
        <w:t xml:space="preserve">Übertragbarkeit: </w:t>
      </w:r>
      <w:r>
        <w:rPr>
          <w:sz w:val="19"/>
        </w:rPr>
        <w:t>Norwegen/Kanada; Wundbewirtschaftungsprinzipien gelten international</w:t>
      </w:r>
    </w:p>
    <w:p>
      <w:r>
        <w:rPr>
          <w:color w:val="5A7D3A"/>
          <w:sz w:val="18"/>
        </w:rPr>
        <w:t>https://pubmed.ncbi.nlm.nih.gov/42847510/</w:t>
      </w:r>
    </w:p>
    <w:p>
      <w:pPr>
        <w:pStyle w:val="Heading1"/>
      </w:pPr>
      <w:r>
        <w:t>Aufgenommen am 19.10.2026</w:t>
      </w:r>
    </w:p>
    <w:p>
      <w:pPr>
        <w:pStyle w:val="Heading2"/>
      </w:pPr>
      <w:r>
        <w:t>Invasive Verfahren erhöhen Mortalität bei älteren Patienten mit Blutbahninfektionen</w:t>
      </w:r>
    </w:p>
    <w:p>
      <w:r>
        <w:rPr>
          <w:i/>
          <w:color w:val="666666"/>
          <w:sz w:val="18"/>
        </w:rPr>
        <w:t>Yu Z et al.  ·  Clin Interv Aging  ·  12.10.2026  ·  PMID 42892862</w:t>
      </w:r>
    </w:p>
    <w:p>
      <w:r>
        <w:t>Retrospektive Kohortenstudie an 527 älteren Patienten (≥65 Jahre) mit Blutbahninfektionen in einer geriatrischen Klinik in Peking zur Identifikation von Mortalitätsprädiktoren.</w:t>
      </w:r>
    </w:p>
    <w:p>
      <w:r>
        <w:rPr>
          <w:b/>
        </w:rPr>
        <w:t xml:space="preserve">Ergebnis: </w:t>
      </w:r>
      <w:r>
        <w:t>Prolongierte mechanische Beatmung war der stärkste Mortalitätsfaktor (1–30 Tage: OR 12,70, 95%-KI 5,86–29,00; 31–90 Tage: OR 3,21, 95%-KI 1,53–6,89). Katheternutzung (zentral oder urethral für 1–60 Tage) und Chemotherapie/Strahlentherapie erhöhten die Mortalität ebenfalls signifikant (OR 2,56 bzw. 2,28 bzw. 3,25). Die Thrombozytenzahl war der beste prognostische Marker (AUC 0,79).</w:t>
      </w:r>
    </w:p>
    <w:p>
      <w:r>
        <w:rPr>
          <w:b/>
          <w:sz w:val="19"/>
        </w:rPr>
        <w:t xml:space="preserve">Übertragbarkeit: </w:t>
      </w:r>
      <w:r>
        <w:rPr>
          <w:sz w:val="19"/>
        </w:rPr>
        <w:t>China – Settings und Patienten unterscheiden sich von Deutschland, Befund zu invasiven Maßnahmen aber Versorgungsrelevanz</w:t>
      </w:r>
    </w:p>
    <w:p>
      <w:r>
        <w:rPr>
          <w:color w:val="5A7D3A"/>
          <w:sz w:val="18"/>
        </w:rPr>
        <w:t>https://pubmed.ncbi.nlm.nih.gov/42892862/</w:t>
      </w:r>
    </w:p>
    <w:p>
      <w:pPr>
        <w:pStyle w:val="Heading2"/>
      </w:pPr>
      <w:r>
        <w:t>Demenz-Nebenwirkungen: 33.772 FDA-Meldungen deuten auf Immunsuppressiva, Antipsychotika und Zytostatika</w:t>
      </w:r>
    </w:p>
    <w:p>
      <w:r>
        <w:rPr>
          <w:i/>
          <w:color w:val="666666"/>
          <w:sz w:val="18"/>
        </w:rPr>
        <w:t>Tao T et al.  ·  Medicine (Baltimore)  ·  16.10.2026  ·  PMID 42888596</w:t>
      </w:r>
    </w:p>
    <w:p>
      <w:r>
        <w:t>Pharmakovigilanz-Analyse von Demenz-assoziierten Nebenwirkungsberichten aus der FDA Adverse Event Reporting System (FAERS)-Datenbank von Q1 2004 bis Q1 2024 mit Disproportionalitätsanalyse.</w:t>
      </w:r>
    </w:p>
    <w:p>
      <w:r>
        <w:rPr>
          <w:b/>
        </w:rPr>
        <w:t xml:space="preserve">Ergebnis: </w:t>
      </w:r>
      <w:r>
        <w:t>33.772 Berichte zu 1.103 Verdachtsdrogen wurden identifiziert. Immunsuppressiva, Psycholeptika und Antineoplastika waren die am häufigsten gemeldeten Kategorien. Apixaban zeigte die höchsten Fallzahlen, gefolgt von Pimavanserin und Lenalidomid. Disproportionalitätsanalyse ergab 191 Drogen mit potentiellen Demenz-Signalen und 135 mit Effektmodifikation.</w:t>
      </w:r>
    </w:p>
    <w:p>
      <w:r>
        <w:rPr>
          <w:b/>
          <w:sz w:val="19"/>
        </w:rPr>
        <w:t xml:space="preserve">Übertragbarkeit: </w:t>
      </w:r>
      <w:r>
        <w:rPr>
          <w:sz w:val="19"/>
        </w:rPr>
        <w:t>USA FAERS-Datenbank – Signale müssen in europäischen Registern validiert werden, Meldequoten nicht direkt vergleichbar</w:t>
      </w:r>
    </w:p>
    <w:p>
      <w:r>
        <w:rPr>
          <w:color w:val="5A7D3A"/>
          <w:sz w:val="18"/>
        </w:rPr>
        <w:t>https://pubmed.ncbi.nlm.nih.gov/42888596/</w:t>
      </w:r>
    </w:p>
    <w:p>
      <w:pPr>
        <w:pStyle w:val="Heading2"/>
      </w:pPr>
      <w:r>
        <w:t>Medikamentenverschwendung auf Intensivstationen: Kategorien, aber keine Interventionsergebnisse</w:t>
      </w:r>
    </w:p>
    <w:p>
      <w:r>
        <w:rPr>
          <w:i/>
          <w:color w:val="666666"/>
          <w:sz w:val="18"/>
        </w:rPr>
        <w:t>Liang L et al.  ·  Nurs Crit Care  ·  Nov. 2026  ·  PMID 42885869</w:t>
      </w:r>
    </w:p>
    <w:p>
      <w:r>
        <w:t>Gemischte systematische Übersicht zu Erfassung, Mechanismen und Prävention von intravenöser Medikamentenverschwendung auf Intensivstationen in 25 Berichten aus 21 unabhängigen Studien.</w:t>
      </w:r>
    </w:p>
    <w:p>
      <w:r>
        <w:rPr>
          <w:b/>
        </w:rPr>
        <w:t xml:space="preserve">Ergebnis: </w:t>
      </w:r>
      <w:r>
        <w:t>Verschwendung gliederte sich in fünf Kategorien: ungenutzte Präparate, Verlust nach Verordnung oder Ereignis, Restmengen in Behältern, Rückstände in Systemen und Materialfluss-Verluste. Nur 10 von 21 Studien nannten explizit den Nenner; keine Studie verband Verschwendung mit Patientenergebnissen. Interventionsevidenz war unkontrolliert oder modelliert.</w:t>
      </w:r>
    </w:p>
    <w:p>
      <w:r>
        <w:rPr>
          <w:b/>
          <w:sz w:val="19"/>
        </w:rPr>
        <w:t xml:space="preserve">Übertragbarkeit: </w:t>
      </w:r>
      <w:r>
        <w:rPr>
          <w:sz w:val="19"/>
        </w:rPr>
        <w:t>UK und Mehrländer – Dokumentationsstandards ähnlich Deutschland, Problem versorgungsrelevant</w:t>
      </w:r>
    </w:p>
    <w:p>
      <w:r>
        <w:rPr>
          <w:color w:val="5A7D3A"/>
          <w:sz w:val="18"/>
        </w:rPr>
        <w:t>https://pubmed.ncbi.nlm.nih.gov/42885869/</w:t>
      </w:r>
    </w:p>
    <w:p>
      <w:pPr>
        <w:pStyle w:val="Heading2"/>
      </w:pPr>
      <w:r>
        <w:t>Blutglukose kontrolliert Armfunktion nach traumatischer Infektion – frühe Reha hilft teilweise</w:t>
      </w:r>
    </w:p>
    <w:p>
      <w:r>
        <w:rPr>
          <w:i/>
          <w:color w:val="666666"/>
          <w:sz w:val="18"/>
        </w:rPr>
        <w:t>Chen S et al.  ·  J Plast Surg Hand Surg  ·  16.10.2026  ·  PMID 42885545</w:t>
      </w:r>
    </w:p>
    <w:p>
      <w:r>
        <w:t>Retrospektive Kohortenstudie mit 100 Patienten mit Fraktur-assoziierten Infektionen (FRI) nach Oberlimben-Trauma zur Untersuchung der Assoziation zwischen präoperativem HbA1c und Armfunktion (DASH-Score) nach 6 Monaten sowie der vermittelnden Rolle der Reha-Initiation.</w:t>
      </w:r>
    </w:p>
    <w:p>
      <w:r>
        <w:rPr>
          <w:b/>
        </w:rPr>
        <w:t xml:space="preserve">Ergebnis: </w:t>
      </w:r>
      <w:r>
        <w:t>HbA1c war signifikant positiv mit DASH-Score assoziiert (β=6,90, 95%-KI 3,91–9,89, p&lt;0,001). Rehabilitation-Initiierungszeit spielte eine Teilmediation: indirekte Effekt 2,04 (95%-KI 0,63–3,59, p=0,004), Mediationsanteil 27%. Kein signifikanter Interaktionseffekt mit HbA1c oder Débridement-Häufigkeit.</w:t>
      </w:r>
    </w:p>
    <w:p>
      <w:r>
        <w:rPr>
          <w:b/>
          <w:sz w:val="19"/>
        </w:rPr>
        <w:t xml:space="preserve">Übertragbarkeit: </w:t>
      </w:r>
      <w:r>
        <w:rPr>
          <w:sz w:val="19"/>
        </w:rPr>
        <w:t>China – Prinzip der Glykämie-Kontrolle und frühester Reha-Initiation universell, Outcome-Messung vergleichbar</w:t>
      </w:r>
    </w:p>
    <w:p>
      <w:r>
        <w:rPr>
          <w:color w:val="5A7D3A"/>
          <w:sz w:val="18"/>
        </w:rPr>
        <w:t>https://pubmed.ncbi.nlm.nih.gov/42885545/</w:t>
      </w:r>
    </w:p>
    <w:p>
      <w:pPr>
        <w:pStyle w:val="Heading2"/>
      </w:pPr>
      <w:r>
        <w:t>Katheter-assoziierte Harnwegsinfektionen: bisherige Vorhersagemodelle unbrauchbar</w:t>
      </w:r>
    </w:p>
    <w:p>
      <w:r>
        <w:rPr>
          <w:i/>
          <w:color w:val="666666"/>
          <w:sz w:val="18"/>
        </w:rPr>
        <w:t>Mengqi Z et al.  ·  Front Public Health  ·  30.09.2026  ·  PMID 42877209</w:t>
      </w:r>
    </w:p>
    <w:p>
      <w:r>
        <w:t>Systematische Übersicht mit kritischer Bewertung von 18 publizierten Vorhersagemodellen für katheter-assoziierte Harnwegsinfektionen (CAUTI) bei erwachsenen stationären Patienten.</w:t>
      </w:r>
    </w:p>
    <w:p>
      <w:r>
        <w:rPr>
          <w:b/>
        </w:rPr>
        <w:t xml:space="preserve">Ergebnis: </w:t>
      </w:r>
      <w:r>
        <w:t>Alle 13 Berichte wurden wegen hohen Verzerrungsrisiko bewertet, hauptsächlich durch zeitliche Datenüberlappung, unzureichendes Events-pro-Variable-Verhältnis und fehlende externe Validierung. Nur zwei Modelle führten externe Validierung durch (AUC 0,758 und 0,970). Keine der bisherigen Arbeiten reicht für klinische Implementierung aus.</w:t>
      </w:r>
    </w:p>
    <w:p>
      <w:r>
        <w:rPr>
          <w:b/>
          <w:sz w:val="19"/>
        </w:rPr>
        <w:t xml:space="preserve">Übertragbarkeit: </w:t>
      </w:r>
      <w:r>
        <w:rPr>
          <w:sz w:val="19"/>
        </w:rPr>
        <w:t>Mehrländische Analyse – unterstreicht Forschungslücke auch für Deutschland</w:t>
      </w:r>
    </w:p>
    <w:p>
      <w:r>
        <w:rPr>
          <w:color w:val="5A7D3A"/>
          <w:sz w:val="18"/>
        </w:rPr>
        <w:t>https://pubmed.ncbi.nlm.nih.gov/42877209/</w:t>
      </w:r>
    </w:p>
    <w:p>
      <w:pPr>
        <w:pStyle w:val="Heading2"/>
      </w:pPr>
      <w:r>
        <w:t>Medikamenteninduzierte Gallengangsverluste: benigne Prognose trotz verzögerter Erholung</w:t>
      </w:r>
    </w:p>
    <w:p>
      <w:r>
        <w:rPr>
          <w:i/>
          <w:color w:val="666666"/>
          <w:sz w:val="18"/>
        </w:rPr>
        <w:t>Bessone F et al.  ·  Liver Int  ·  Nov. 2026  ·  PMID 42860753</w:t>
      </w:r>
    </w:p>
    <w:p>
      <w:r>
        <w:t>Prospektive multinationale Registerstudie (Spanien, Lateinamerika) mit Leberbiopsien bei 298 Patienten zur Charakterisierung von arzneimittelinduzierten Gallengangverlusten (Drug-Induced Ductopenia, DID) und Langzeitergebnissen.</w:t>
      </w:r>
    </w:p>
    <w:p>
      <w:r>
        <w:rPr>
          <w:b/>
        </w:rPr>
        <w:t xml:space="preserve">Ergebnis: </w:t>
      </w:r>
      <w:r>
        <w:t>10 Fälle (3,4%) erfüllten DID-Kriterien (Ausfall interlobulärer Gallengänge in &gt;50% der Portaltrakte). Alle zeigten Ikterus, 40% einen Hautausschlag (vs. 9,4% ohne DID; p=0,013). Gesamtbilirubin war signifikant höher (Median 12 mg/dL vs. 6,6 mg/dL; p=0,027). Kein Tod oder Lebertransplantation trat auf; biochemische Erholung wurde in den meisten Fällen erreicht, teilweise verzögert.</w:t>
      </w:r>
    </w:p>
    <w:p>
      <w:r>
        <w:rPr>
          <w:b/>
          <w:sz w:val="19"/>
        </w:rPr>
        <w:t xml:space="preserve">Übertragbarkeit: </w:t>
      </w:r>
      <w:r>
        <w:rPr>
          <w:sz w:val="19"/>
        </w:rPr>
        <w:t>Spanien, Lateinamerika – vergleichbare Meldesysteme, DILI-Registry-Modell informativ für Deutschland</w:t>
      </w:r>
    </w:p>
    <w:p>
      <w:r>
        <w:rPr>
          <w:color w:val="5A7D3A"/>
          <w:sz w:val="18"/>
        </w:rPr>
        <w:t>https://pubmed.ncbi.nlm.nih.gov/42860753/</w:t>
      </w:r>
    </w:p>
    <w:p>
      <w:pPr>
        <w:pStyle w:val="Heading1"/>
      </w:pPr>
      <w:r>
        <w:t>Aufgenommen am 18.10.2026</w:t>
      </w:r>
    </w:p>
    <w:p>
      <w:pPr>
        <w:pStyle w:val="Heading2"/>
      </w:pPr>
      <w:r>
        <w:t>Antibiotic-Stewardship bei Leberzirrhose: Evidence-Lücken und Handlungsbedarf</w:t>
      </w:r>
    </w:p>
    <w:p>
      <w:r>
        <w:rPr>
          <w:i/>
          <w:color w:val="666666"/>
          <w:sz w:val="18"/>
        </w:rPr>
        <w:t>Ezzafzafi S et al.  ·  United European Gastroenterol J  ·  Okt. 2026  ·  PMID 42888911</w:t>
      </w:r>
    </w:p>
    <w:p>
      <w:r>
        <w:t>Narrative Übersicht der Evidenz hinter internationalen Leitlinien-Empfehlungen zu Antibiotic-Prophylaxe und empirischer Behandlung bei Zirrhose, mit kritischer Bewertung des Validitätszustands in der Ära multiresistenter Erreger.</w:t>
      </w:r>
    </w:p>
    <w:p>
      <w:r>
        <w:rPr>
          <w:b/>
        </w:rPr>
        <w:t xml:space="preserve">Ergebnis: </w:t>
      </w:r>
      <w:r>
        <w:t>Die Autoren zeigen, dass die zugrundeliegende Evidenz begrenzt ist und älter als die aktuelle Ära multiresistenter Erreger. Primärprophylaxe sollte neu überdacht werden, Rifaximin verdient Evaluation gegen etablierte Fluorochinolon-Regime, kürzere Antibiotika-Kurse könnten Standard-Durations nicht unterlegen sein. Neue doppelblind-kontrollierte Nicht-Unterlegenheits- und Bayesianische Studien sind erforderlich.</w:t>
      </w:r>
    </w:p>
    <w:p>
      <w:r>
        <w:rPr>
          <w:b/>
          <w:sz w:val="19"/>
        </w:rPr>
        <w:t xml:space="preserve">Übertragbarkeit: </w:t>
      </w:r>
      <w:r>
        <w:rPr>
          <w:sz w:val="19"/>
        </w:rPr>
        <w:t>Niederlande/UK, europäische Versorgungsrealität, direkter Antibiotic-Stewardship-Bezug</w:t>
      </w:r>
    </w:p>
    <w:p>
      <w:r>
        <w:rPr>
          <w:color w:val="5A7D3A"/>
          <w:sz w:val="18"/>
        </w:rPr>
        <w:t>https://pubmed.ncbi.nlm.nih.gov/42888911/</w:t>
      </w:r>
    </w:p>
    <w:p>
      <w:pPr>
        <w:pStyle w:val="Heading2"/>
      </w:pPr>
      <w:r>
        <w:t>Besuchssperre auf Intensivstation senkte nosokomiale Infektionen um zwei Drittel</w:t>
      </w:r>
    </w:p>
    <w:p>
      <w:r>
        <w:rPr>
          <w:i/>
          <w:color w:val="666666"/>
          <w:sz w:val="18"/>
        </w:rPr>
        <w:t>Ersoy Karka O et al.  ·  Medicine (Baltimore)  ·  16.10.2026  ·  PMID 42888540</w:t>
      </w:r>
    </w:p>
    <w:p>
      <w:r>
        <w:t>Vergleich der Infektionsraten zwischen Vor-Pandemie-Phase mit eingeschränktem Besuch und Pandemie-Phase mit Besuchsverbot in einer nichtCOVID-Intensivstation der Türkei (März 2019 bis März 2021).</w:t>
      </w:r>
    </w:p>
    <w:p>
      <w:r>
        <w:rPr>
          <w:b/>
        </w:rPr>
        <w:t xml:space="preserve">Ergebnis: </w:t>
      </w:r>
      <w:r>
        <w:t>Die Infektionsrate war in der Besuchssperre-Gruppe (6,1 %) signifikant niedriger als in der Kontrollgruppe (22,0 %, p&lt;0,001). In der episodengestützten Analyse: 10,4 % versus 33,0 % (p&lt;0,001). Die Zeit bis zum Infektionsbeginn war in der Besuchssperre-Gruppe signifikant länger (p=0,003). Beatmungsassoziierte Pneumonie zeigte standardisiertes Infektionsverhältnis-Reduktion (p=0,02); Acinetobacter-Isolate waren deutlich weniger häufig. Procalcitonin, CRP, Leukozyten und Laktat waren in der Besuchssperre-Phase signifikant niedriger.</w:t>
      </w:r>
    </w:p>
    <w:p>
      <w:r>
        <w:rPr>
          <w:b/>
          <w:sz w:val="19"/>
        </w:rPr>
        <w:t xml:space="preserve">Übertragbarkeit: </w:t>
      </w:r>
      <w:r>
        <w:rPr>
          <w:sz w:val="19"/>
        </w:rPr>
        <w:t>Türkei, Mehrschicht-Kontrollmaßnahmen in der Pandemie, Ergebnis nicht allein dem Besuchsverbot zurechenbar</w:t>
      </w:r>
    </w:p>
    <w:p>
      <w:r>
        <w:rPr>
          <w:color w:val="5A7D3A"/>
          <w:sz w:val="18"/>
        </w:rPr>
        <w:t>https://pubmed.ncbi.nlm.nih.gov/42888540/</w:t>
      </w:r>
    </w:p>
    <w:p>
      <w:pPr>
        <w:pStyle w:val="Heading2"/>
      </w:pPr>
      <w:r>
        <w:t>Blutkultur-positive Episoden in der Neonatologie: Wie Ärzte Infektion von Kontamination unterscheiden</w:t>
      </w:r>
    </w:p>
    <w:p>
      <w:r>
        <w:rPr>
          <w:i/>
          <w:color w:val="666666"/>
          <w:sz w:val="18"/>
        </w:rPr>
        <w:t>Schnee SV et al.  ·  BMC Infect Dis  ·  15.10.2026  ·  PMID 42888396</w:t>
      </w:r>
    </w:p>
    <w:p>
      <w:r>
        <w:t>Retrospektive Analyse von 189 blutkultur-positiven Episoden in einer deutschen Neugeborenen-Intensivstation (2014–2024), wie klinische Teams zwischen Infektion und Kontamination differenzieren.</w:t>
      </w:r>
    </w:p>
    <w:p>
      <w:r>
        <w:rPr>
          <w:b/>
        </w:rPr>
        <w:t xml:space="preserve">Ergebnis: </w:t>
      </w:r>
      <w:r>
        <w:t>Von 189 Episoden wurden 125 (66,1 %) als Infektion und 64 (33,9 %) als Kontamination attribuiert. Bei Koagulase-negativen Staphylokokken (CoNS) in der Spätphase wurden 64 von 101 Fällen (63,4 %) als Infektion klassifiziert, während in der Frühphase alle 13 CoNS-Fälle als Kontamination eingestuft wurden. Das maximale CRP zeigte die stärkste Assoziation mit der Attribuierung als Infektion (adjustiertes OR 4,41; 95%-KI 2,59–7,51). Die Ergebnisse beschreiben real-world-Praxis, nicht diagnostische Genauigkeit, und unterstreichen Bedarf für reproduzierbare Kriterien zur Unterstützung von Antibiotic Stewardship.</w:t>
      </w:r>
    </w:p>
    <w:p>
      <w:r>
        <w:rPr>
          <w:b/>
          <w:sz w:val="19"/>
        </w:rPr>
        <w:t xml:space="preserve">Übertragbarkeit: </w:t>
      </w:r>
      <w:r>
        <w:rPr>
          <w:sz w:val="19"/>
        </w:rPr>
        <w:t>Deutsche Klinikdaten, NICU mit vergleichbarem Dokumentationsstandard</w:t>
      </w:r>
    </w:p>
    <w:p>
      <w:r>
        <w:rPr>
          <w:color w:val="5A7D3A"/>
          <w:sz w:val="18"/>
        </w:rPr>
        <w:t>https://pubmed.ncbi.nlm.nih.gov/42888396/</w:t>
      </w:r>
    </w:p>
    <w:p>
      <w:pPr>
        <w:pStyle w:val="Heading2"/>
      </w:pPr>
      <w:r>
        <w:t>Beatmungsassoziierte Pneumonie: Diagnose neu definieren – Erreger allein reicht nicht</w:t>
      </w:r>
    </w:p>
    <w:p>
      <w:r>
        <w:rPr>
          <w:i/>
          <w:color w:val="666666"/>
          <w:sz w:val="18"/>
        </w:rPr>
        <w:t>Martin-Loeches I et al.  ·  Nat Commun  ·  16.10.2026  ·  PMID 42888246</w:t>
      </w:r>
    </w:p>
    <w:p>
      <w:r>
        <w:t>Perspektive zur Neukonzeptualisierung der Diagnose beatmungsassoziierter Pneumonie jenseits reiner Erregerdetektione, mit expliziter Bewertung der kausalen Plausibilität des Erregers für die aktuelle Lungenverletzung.</w:t>
      </w:r>
    </w:p>
    <w:p>
      <w:r>
        <w:rPr>
          <w:b/>
        </w:rPr>
        <w:t xml:space="preserve">Ergebnis: </w:t>
      </w:r>
      <w:r>
        <w:t>Der Rahmen schlägt eine explizite, gestufte und überprüfbare Bewertung vor, ob ein nachgewiesener Organismus die aktuelle Lungenverletzung plausibel verursacht. Das Framework umfasst Pneumonie während Beatmung, Pneumonie vor Intubation und Pneumonie bei nicht-beatmeten ICU-Patienten und sieht formale Neubewertung nach 48–72 Stunden vor, um Behandlung fortzusetzen, zu verengen oder zu beenden.</w:t>
      </w:r>
    </w:p>
    <w:p>
      <w:r>
        <w:rPr>
          <w:b/>
          <w:sz w:val="19"/>
        </w:rPr>
        <w:t xml:space="preserve">Übertragbarkeit: </w:t>
      </w:r>
      <w:r>
        <w:rPr>
          <w:sz w:val="19"/>
        </w:rPr>
        <w:t>Irland/Spanien, europäische ICU-Praxis, Diagnostic Stewardship-Konzept</w:t>
      </w:r>
    </w:p>
    <w:p>
      <w:r>
        <w:rPr>
          <w:color w:val="5A7D3A"/>
          <w:sz w:val="18"/>
        </w:rPr>
        <w:t>https://pubmed.ncbi.nlm.nih.gov/42888246/</w:t>
      </w:r>
    </w:p>
    <w:p>
      <w:pPr>
        <w:pStyle w:val="Heading2"/>
      </w:pPr>
      <w:r>
        <w:t>Hautdesinfektions-Umfang bei Hüftoperation reduziert Kontaminationsrisiko messbar</w:t>
      </w:r>
    </w:p>
    <w:p>
      <w:r>
        <w:rPr>
          <w:i/>
          <w:color w:val="666666"/>
          <w:sz w:val="18"/>
        </w:rPr>
        <w:t>Verhelst L et al.  ·  Acta Orthop Belg  ·  08.10.2026  ·  PMID 42885457</w:t>
      </w:r>
    </w:p>
    <w:p>
      <w:r>
        <w:t>Proof-of-concept-Studie an 6 Hautdesinfektions- und Abdeckungsprotokollen für die direkt-anteriore Hüftarthroplastie mit fluoreszierentem Kontaminationsmodell.</w:t>
      </w:r>
    </w:p>
    <w:p>
      <w:r>
        <w:rPr>
          <w:b/>
        </w:rPr>
        <w:t xml:space="preserve">Ergebnis: </w:t>
      </w:r>
      <w:r>
        <w:t>Keine Kontamination bei den vier ausgedehntesten Desinfektionsstrategien. Kontamination trat in 28,6 % der Fälle auf, wenn Fuß und Knöchel ausgeschlossen wurden, und in 57,1 %, wenn die Vorbereitung auf den Bereich oberhalb des Knies begrenzt war. Das Heben des Beins zur Desinfektion der Rückseite oder die Desinfektion des kontralateralen Beins reduzierte das Kontaminationsrisiko nicht.</w:t>
      </w:r>
    </w:p>
    <w:p>
      <w:r>
        <w:rPr>
          <w:b/>
          <w:sz w:val="19"/>
        </w:rPr>
        <w:t xml:space="preserve">Übertragbarkeit: </w:t>
      </w:r>
      <w:r>
        <w:rPr>
          <w:sz w:val="19"/>
        </w:rPr>
        <w:t>Belgien, vergleichbares OP-Standard-Managementsystem, Ergebnis übertragbar</w:t>
      </w:r>
    </w:p>
    <w:p>
      <w:r>
        <w:rPr>
          <w:color w:val="5A7D3A"/>
          <w:sz w:val="18"/>
        </w:rPr>
        <w:t>https://pubmed.ncbi.nlm.nih.gov/42885457/</w:t>
      </w:r>
    </w:p>
    <w:p>
      <w:pPr>
        <w:pStyle w:val="Heading2"/>
      </w:pPr>
      <w:r>
        <w:t>Risikomanagementsystem identifiziert 20 kritische Fehlerquellen bei Antipsychotika-Versorgung</w:t>
      </w:r>
    </w:p>
    <w:p>
      <w:r>
        <w:rPr>
          <w:i/>
          <w:color w:val="666666"/>
          <w:sz w:val="18"/>
        </w:rPr>
        <w:t>Felício LR et al.  ·  Cien Saude Colet  ·  09.10.2026  ·  PMID 42879620</w:t>
      </w:r>
    </w:p>
    <w:p>
      <w:r>
        <w:t>Qualitative Risikoanalyse der Zugangsbarrieren zu Antipsychotika in Brasilien (Basiskomponente vs. Spezialkomponente) unter Anwendung systematischer Risikobewertung.</w:t>
      </w:r>
    </w:p>
    <w:p>
      <w:r>
        <w:rPr>
          <w:b/>
        </w:rPr>
        <w:t xml:space="preserve">Ergebnis: </w:t>
      </w:r>
      <w:r>
        <w:t>20 Risikofälle identifiziert: 12 in Basiskomponente (60 %), 11 in Spezialkomponente (55 %), davon 7 gemeinsam. Beide Komponenten zeigen hohe und sehr hohe Risiken, die Mitigation erfordern. Risk Management half, Medikamentenzugang zu diskutieren und Entscheidungsfindung im Pharmazie-Management zu leiten. Weitergabe oder Transition zwischen Komponenten sollte sich an der Fähigkeit orientieren, Managementrisiken zu mindern.</w:t>
      </w:r>
    </w:p>
    <w:p>
      <w:r>
        <w:rPr>
          <w:b/>
          <w:sz w:val="19"/>
        </w:rPr>
        <w:t xml:space="preserve">Übertragbarkeit: </w:t>
      </w:r>
      <w:r>
        <w:rPr>
          <w:sz w:val="19"/>
        </w:rPr>
        <w:t>Brasilien, Risikomanagementsystem systematisch auf Medikations-Versorgung angewendet, Übertragbarkeit gering</w:t>
      </w:r>
    </w:p>
    <w:p>
      <w:r>
        <w:rPr>
          <w:color w:val="5A7D3A"/>
          <w:sz w:val="18"/>
        </w:rPr>
        <w:t>https://pubmed.ncbi.nlm.nih.gov/42879620/</w:t>
      </w:r>
    </w:p>
    <w:p>
      <w:pPr>
        <w:pStyle w:val="Heading1"/>
      </w:pPr>
      <w:r>
        <w:t>Aufgenommen am 17.10.2026</w:t>
      </w:r>
    </w:p>
    <w:p>
      <w:pPr>
        <w:pStyle w:val="Heading2"/>
      </w:pPr>
      <w:r>
        <w:t>Schnelle Mikrodiagnostik bei Bakteriämie verkürzte Antibiotikaanpassung um 16 Stunden</w:t>
      </w:r>
    </w:p>
    <w:p>
      <w:r>
        <w:rPr>
          <w:i/>
          <w:color w:val="666666"/>
          <w:sz w:val="18"/>
        </w:rPr>
        <w:t>Pérez G et al.  ·  Medicina (B Aires)  ·  2026  ·  PMID 42886952</w:t>
      </w:r>
    </w:p>
    <w:p>
      <w:r>
        <w:t>Quasi-experimentelle Studie zur Integration von FilmArray-Schnelldiagnostik in ein Antibiotic-Stewardship-Programm für hospitalisierte Kinder mit Bakteriämie.</w:t>
      </w:r>
    </w:p>
    <w:p>
      <w:r>
        <w:rPr>
          <w:b/>
        </w:rPr>
        <w:t xml:space="preserve">Ergebnis: </w:t>
      </w:r>
      <w:r>
        <w:t>Reportingzeit sank von 26 Stunden auf 6 Stunden (p=0,001); Antibiotikaanpassungen nahmen von 41% auf 55% innerhalb 48 Stunden zu (p=0,02); Tage mit empirischem Meropenem und Vancomycin reduzierten sich signifikant. Intervention optimiert Ressourceneinsatz und Patientensicherheit.</w:t>
      </w:r>
    </w:p>
    <w:p>
      <w:r>
        <w:rPr>
          <w:b/>
          <w:sz w:val="19"/>
        </w:rPr>
        <w:t xml:space="preserve">Übertragbarkeit: </w:t>
      </w:r>
      <w:r>
        <w:rPr>
          <w:sz w:val="19"/>
        </w:rPr>
        <w:t>Argentinische Klinikdaten, Organisationsmodell auf deutsches Stewardship übertragbar</w:t>
      </w:r>
    </w:p>
    <w:p>
      <w:r>
        <w:rPr>
          <w:color w:val="5A7D3A"/>
          <w:sz w:val="18"/>
        </w:rPr>
        <w:t>https://pubmed.ncbi.nlm.nih.gov/42886952/</w:t>
      </w:r>
    </w:p>
    <w:p>
      <w:pPr>
        <w:pStyle w:val="Heading2"/>
      </w:pPr>
      <w:r>
        <w:t>VAP-Prävention auf Respiratorischer ICU: MDR-Problematik und höhere Mortalität</w:t>
      </w:r>
    </w:p>
    <w:p>
      <w:r>
        <w:rPr>
          <w:i/>
          <w:color w:val="666666"/>
          <w:sz w:val="18"/>
        </w:rPr>
        <w:t>Pandey R et al.  ·  J Nepal Health Res Counc  ·  15.10.2026  ·  PMID 42881501</w:t>
      </w:r>
    </w:p>
    <w:p>
      <w:r>
        <w:t>Prospektive Beobachtungsstudie zu Prävalenz, Mikrobiologie, Resistenzmustern und Outcomes nosokomialer Infektionen auf einer respiratorischen Intensivstation in Nepal.</w:t>
      </w:r>
    </w:p>
    <w:p>
      <w:r>
        <w:rPr>
          <w:b/>
        </w:rPr>
        <w:t xml:space="preserve">Ergebnis: </w:t>
      </w:r>
      <w:r>
        <w:t>Von 121 Aufnahmen entwickelten 42 Patienten 50 HAI-Episoden (Prävalenz 34,7%); VAP am häufigsten. Acinetobacter baumannii 42%, Klebsiella pneumoniae 18%. Resistenz zu Ceftriaxon, Piperacillin-Tazobactam 85,8%–77,8%, Carbapeneme 92%–90%. Tigecyclin-Resistenz 20% (Acinetobacter), Polymyxin-B-Sensitivität 100%. HAI-Patienten: ICU-Verweildauer länger (9,5 vs. 5,2 Tage; p=0,001), Mortalität höher (28,6% vs. 13,9%; p=0,04).</w:t>
      </w:r>
    </w:p>
    <w:p>
      <w:r>
        <w:rPr>
          <w:b/>
          <w:sz w:val="19"/>
        </w:rPr>
        <w:t xml:space="preserve">Übertragbarkeit: </w:t>
      </w:r>
      <w:r>
        <w:rPr>
          <w:sz w:val="19"/>
        </w:rPr>
        <w:t>Nepal, ähnliche Ressourcenlage wie südosteuropäische Länder, begrenzte Übertragbarkeit auf deutsche Strukturen</w:t>
      </w:r>
    </w:p>
    <w:p>
      <w:r>
        <w:rPr>
          <w:color w:val="5A7D3A"/>
          <w:sz w:val="18"/>
        </w:rPr>
        <w:t>https://pubmed.ncbi.nlm.nih.gov/42881501/</w:t>
      </w:r>
    </w:p>
    <w:p>
      <w:pPr>
        <w:pStyle w:val="Heading2"/>
      </w:pPr>
      <w:r>
        <w:t>Blutkultur-Status bei Kindersepsis kein unabhängiger Mortalitätsprädiktor</w:t>
      </w:r>
    </w:p>
    <w:p>
      <w:r>
        <w:rPr>
          <w:i/>
          <w:color w:val="666666"/>
          <w:sz w:val="18"/>
        </w:rPr>
        <w:t>Xing D et al.  ·  Front Cell Infect Microbiol  ·  30.09.2026  ·  PMID 42876847</w:t>
      </w:r>
    </w:p>
    <w:p>
      <w:r>
        <w:t>Retrospektive Kohortenstudie zu 234 Septisepisoden bei 209 pädiatrisch-onkologischen Patienten auf der Pädiatrischen Intensivstation zur Assoziation zwischen Blutkultur-Positivität und stationärer Mortalität.</w:t>
      </w:r>
    </w:p>
    <w:p>
      <w:r>
        <w:rPr>
          <w:b/>
        </w:rPr>
        <w:t xml:space="preserve">Ergebnis: </w:t>
      </w:r>
      <w:r>
        <w:t>Blutkultur-positiv in 48 Episoden (20,5%); Todesfälle in 45 Episoden (19,2%). Nach Adjustierung für Clustering innerhalb Patienten war Blutkultur-Positivität nicht unabhängig mit Mortalität assoziiert (OR=1,412; 95%-KI 0,536–3,719; p=0,485). Höhere Laktat und vasoaktiv-inotroper Score waren unabhängig mit erhöhter Mortalität assoziiert; höhere PaO₂/FiO₂ und Thrombozyten mit niedrigerer. Unterscheidet zwischen echtem Infektionsnachweis und diagnostischen Markern.</w:t>
      </w:r>
    </w:p>
    <w:p>
      <w:r>
        <w:rPr>
          <w:b/>
          <w:sz w:val="19"/>
        </w:rPr>
        <w:t xml:space="preserve">Übertragbarkeit: </w:t>
      </w:r>
      <w:r>
        <w:rPr>
          <w:sz w:val="19"/>
        </w:rPr>
        <w:t>China, immunoinkompetente Hochrisikopopulation, Methodik auf deutsches Sepsis-Management anwendbar</w:t>
      </w:r>
    </w:p>
    <w:p>
      <w:r>
        <w:rPr>
          <w:color w:val="5A7D3A"/>
          <w:sz w:val="18"/>
        </w:rPr>
        <w:t>https://pubmed.ncbi.nlm.nih.gov/42876847/</w:t>
      </w:r>
    </w:p>
    <w:p>
      <w:pPr>
        <w:pStyle w:val="Heading2"/>
      </w:pPr>
      <w:r>
        <w:t>Therapeutische Präsenz und 'Landing Aid' ermöglichen sichere Ketamin-Behandlung in Psychiatrie</w:t>
      </w:r>
    </w:p>
    <w:p>
      <w:r>
        <w:rPr>
          <w:i/>
          <w:color w:val="666666"/>
          <w:sz w:val="18"/>
        </w:rPr>
        <w:t>Kind A et al.  ·  BMC Med Ethics  ·  08.10.2026  ·  PMID 42870247</w:t>
      </w:r>
    </w:p>
    <w:p>
      <w:r>
        <w:t>Qualitative Studie mit Interviews von 14 Patienten und 10 Klinikern zu Sicherheitserleben während Esketamin- oder Ketamin-Infusionsbehandlung in deutschen psychiatrischen Kliniken.</w:t>
      </w:r>
    </w:p>
    <w:p>
      <w:r>
        <w:rPr>
          <w:b/>
        </w:rPr>
        <w:t xml:space="preserve">Ergebnis: </w:t>
      </w:r>
      <w:r>
        <w:t>Drei zentrale Faktoren für Sicherheit identifiziert: therapeutische Präsenz, aktive physische Erdung und strukturierte post-akute Übergangshilfe ('Landing Aid'). Kliniker und Patienten zeigten unterschiedliche Verständnismodelle für Ketamins Wirkmechanismus – Transformation vs. temporäre Symptomlinderung – mit Implikationen für Vorbereitung und Nachsorge. Flexible, patientenzentrierte Pflege über nicht verhandelbarem Sicherheitsminimum erforderlich.</w:t>
      </w:r>
    </w:p>
    <w:p>
      <w:r>
        <w:rPr>
          <w:b/>
          <w:sz w:val="19"/>
        </w:rPr>
        <w:t xml:space="preserve">Übertragbarkeit: </w:t>
      </w:r>
      <w:r>
        <w:rPr>
          <w:sz w:val="19"/>
        </w:rPr>
        <w:t>Deutschland, Charité Berlin, vollständig auf deutsche Kliniken übertragbar</w:t>
      </w:r>
    </w:p>
    <w:p>
      <w:r>
        <w:rPr>
          <w:color w:val="5A7D3A"/>
          <w:sz w:val="18"/>
        </w:rPr>
        <w:t>https://pubmed.ncbi.nlm.nih.gov/42870247/</w:t>
      </w:r>
    </w:p>
    <w:p>
      <w:pPr>
        <w:pStyle w:val="Heading2"/>
      </w:pPr>
      <w:r>
        <w:t>Kandidämie-Rate stabil trotz Bevölkerungsalterung: Island 2000–2023</w:t>
      </w:r>
    </w:p>
    <w:p>
      <w:r>
        <w:rPr>
          <w:i/>
          <w:color w:val="666666"/>
          <w:sz w:val="18"/>
        </w:rPr>
        <w:t>Asmundsdottir LR et al.  ·  Euro Surveill  ·  Okt. 2026  ·  PMID 42852522</w:t>
      </w:r>
    </w:p>
    <w:p>
      <w:r>
        <w:t>Bevölkerungsbasierte Langzeitstude zur Epidemiologie der Kandidämie mittels alterstandardisierter Inzidenzraten (ASR) über 24 Jahre mit Vergleich zur kurzfristigen Trendanalyse 2012–2023.</w:t>
      </w:r>
    </w:p>
    <w:p>
      <w:r>
        <w:rPr>
          <w:b/>
        </w:rPr>
        <w:t xml:space="preserve">Ergebnis: </w:t>
      </w:r>
      <w:r>
        <w:t>207 Episoden bei 193 Patienten; langfristige ASR stabil bei durchschnittlich 5,8 pro 100.000 (IRR=1,00 für 2000–2023). Kurzzeitig 2012–2023 Anstieg auf 5,2 pro 100.000 (IRR=1,07; p=0,001), hauptsächlich Männer (IRR=1,10; p=0,001). Hochste altersabhängige Rate bei Männern &gt;80 Jahren (44,0/100.000). Non-albicans-Arten nahmen zu. Fluconazol-Empfindlichkeit hoch (&gt;99% C. albicans), Echinocandin-Resistenz selten (1,9%).</w:t>
      </w:r>
    </w:p>
    <w:p>
      <w:r>
        <w:rPr>
          <w:b/>
          <w:sz w:val="19"/>
        </w:rPr>
        <w:t xml:space="preserve">Übertragbarkeit: </w:t>
      </w:r>
      <w:r>
        <w:rPr>
          <w:sz w:val="19"/>
        </w:rPr>
        <w:t>Island, nordeuropäisches Überwachungssystem mit hoher Meldequalität, nicht auf deutsches System übertragbar</w:t>
      </w:r>
    </w:p>
    <w:p>
      <w:r>
        <w:rPr>
          <w:color w:val="5A7D3A"/>
          <w:sz w:val="18"/>
        </w:rPr>
        <w:t>https://pubmed.ncbi.nlm.nih.gov/42852522/</w:t>
      </w:r>
    </w:p>
    <w:p>
      <w:pPr>
        <w:pStyle w:val="Heading2"/>
      </w:pPr>
      <w:r>
        <w:t>Antimicrobial Stewardship in der Wundbehandlung: Fallsammlungen zu früher Intervention</w:t>
      </w:r>
    </w:p>
    <w:p>
      <w:r>
        <w:rPr>
          <w:i/>
          <w:color w:val="666666"/>
          <w:sz w:val="18"/>
        </w:rPr>
        <w:t>Günther B et al.  ·  J Wound Care  ·  08.10.2026  ·  PMID 42847506</w:t>
      </w:r>
    </w:p>
    <w:p>
      <w:r>
        <w:t>Fallsammlungen aus vier europäischen Ländern zur Implementierung von Antimicrobial Stewardship in der Wundbehandlung mit Fokus auf Mikrobien-bindende Verbandsstoffe gemäß neuer internationaler Leitlinien.</w:t>
      </w:r>
    </w:p>
    <w:p>
      <w:r>
        <w:rPr>
          <w:b/>
        </w:rPr>
        <w:t xml:space="preserve">Ergebnis: </w:t>
      </w:r>
      <w:r>
        <w:t>Vier Fallsammlungen (chirurgische Incisionen, schlecht heilende Wunden, diabetische Fußulcera, venöse Beingeschwüre) demonstrieren frühe Intervention nach Stewardship-Prinzipien. Kernerkenntnisse: Zeitpunkt der Intervention, Auswahl von Verbandsstoffen mit antimikrobiellen Eigenschaften und multidisziplinäre Koordination. Praktische Empfehlungen zur Balance zwischen Stewardship und lokaler Wundbehandlung ohne zahlenmäßige Outcome-Daten im Abstract benannt.</w:t>
      </w:r>
    </w:p>
    <w:p>
      <w:r>
        <w:rPr>
          <w:b/>
          <w:sz w:val="19"/>
        </w:rPr>
        <w:t xml:space="preserve">Übertragbarkeit: </w:t>
      </w:r>
      <w:r>
        <w:rPr>
          <w:sz w:val="19"/>
        </w:rPr>
        <w:t>Norwegen, Portugal, UK, Australien, Kanada – europäisches Stewardship-Konzept, auf deutsche Wundbehandlung übertragbar</w:t>
      </w:r>
    </w:p>
    <w:p>
      <w:r>
        <w:rPr>
          <w:color w:val="5A7D3A"/>
          <w:sz w:val="18"/>
        </w:rPr>
        <w:t>https://pubmed.ncbi.nlm.nih.gov/42847506/</w:t>
      </w:r>
    </w:p>
    <w:p>
      <w:pPr>
        <w:pStyle w:val="Heading1"/>
      </w:pPr>
      <w:r>
        <w:t>Aufgenommen am 16.10.2026</w:t>
      </w:r>
    </w:p>
    <w:p>
      <w:pPr>
        <w:pStyle w:val="Heading2"/>
      </w:pPr>
      <w:r>
        <w:t>Fehlermeldesysteme in Hausarztpraxen: Gestaltungsprinzipien zeigen keine Wirkung ohne Tests</w:t>
      </w:r>
    </w:p>
    <w:p>
      <w:r>
        <w:rPr>
          <w:i/>
          <w:color w:val="666666"/>
          <w:sz w:val="18"/>
        </w:rPr>
        <w:t>Sirago G et al.  ·  J Eval Clin Pract  ·  Okt. 2026  ·  PMID 42879531</w:t>
      </w:r>
    </w:p>
    <w:p>
      <w:r>
        <w:t>Systematische Übersicht zu Gestaltungsprinzipien von Fehlermeldesystemen in der Primärversorgung (Anonymität, Freiwilligkeit, Feedback, nicht-punitiv) mit Pilotierung in Italien.</w:t>
      </w:r>
    </w:p>
    <w:p>
      <w:r>
        <w:rPr>
          <w:b/>
        </w:rPr>
        <w:t xml:space="preserve">Ergebnis: </w:t>
      </w:r>
      <w:r>
        <w:t>Von 202 Quellen (1992–2026) hatten nur 3 Studien ein einzelnes Prinzip gegen Alternativen getestet; die Befunde widersprachen sich. Konfidentielles Berichten ergab mehr kodierbare Berichte als anonymes Berichten (Beobachtungsstudie mit Selbstwahl). Freiwilligkeit, zeitnahes Feedback und nicht-punitive Kultur wurden in keiner Studie gegen eine Alternative verglichen. Der Pilotversuch (Feb.–Juni 2025) mit 8 Hausärzten ergab 10 Berichte; davon betrafen 5 Aggression gegen Personal und 6 Kommunikationsfehler – klinische Fehler waren unterrepräsentiert. Konsens der Fachgemeinschaft ersetzt derzeit empirische Evidenz.</w:t>
      </w:r>
    </w:p>
    <w:p>
      <w:r>
        <w:rPr>
          <w:b/>
          <w:sz w:val="19"/>
        </w:rPr>
        <w:t xml:space="preserve">Übertragbarkeit: </w:t>
      </w:r>
      <w:r>
        <w:rPr>
          <w:sz w:val="19"/>
        </w:rPr>
        <w:t>Italien, vergleichbare EU-Primärversorgung, keine Entschädigungsobligationen</w:t>
      </w:r>
    </w:p>
    <w:p>
      <w:r>
        <w:rPr>
          <w:color w:val="5A7D3A"/>
          <w:sz w:val="18"/>
        </w:rPr>
        <w:t>https://pubmed.ncbi.nlm.nih.gov/42879531/</w:t>
      </w:r>
    </w:p>
    <w:p>
      <w:pPr>
        <w:pStyle w:val="Heading2"/>
      </w:pPr>
      <w:r>
        <w:t>Manchester Triage System erkennt Sepsis-Patienten sicherer als bisherige Kategorien</w:t>
      </w:r>
    </w:p>
    <w:p>
      <w:r>
        <w:rPr>
          <w:i/>
          <w:color w:val="666666"/>
          <w:sz w:val="18"/>
        </w:rPr>
        <w:t>Schondelmaier P et al.  ·  Emergencias  ·  Okt. 2026  ·  PMID 42878298</w:t>
      </w:r>
    </w:p>
    <w:p>
      <w:r>
        <w:t>Sekundäranalyse prospektiver Daten von 1.424 ED-Patienten mit Verdacht auf Organdysfunktion in Deutschland (2 Zentren mit MTS, 1 mit ESI) zur Triagegüte bei Sepsis-Verdacht nach Sepsis-3-Leitlinie.</w:t>
      </w:r>
    </w:p>
    <w:p>
      <w:r>
        <w:rPr>
          <w:b/>
        </w:rPr>
        <w:t xml:space="preserve">Ergebnis: </w:t>
      </w:r>
      <w:r>
        <w:t>388 Patienten (27,3%) erhielten innerhalb 24 h Sepsis-Diagnose. MTS-Sensitivität: 88,2% (Undertriage 11,8%), ESI-Sensitivität: 99,0% (Undertriage 1,0%). Beide zeigten niedrige Spezifität (MTS 17,5%, ESI 2,7%). MTS bot bessere Diskriminierung zwischen Dringlichkeitsstufen trotz niedrigerer Sensitivität; ESI war überlegen bei der Risikostratifizierung. Binäre logistische Regression bestätigte linearen Zusammenhang zwischen höheren Triagekategorien und Sepsis-Wahrscheinlichkeit.</w:t>
      </w:r>
    </w:p>
    <w:p>
      <w:r>
        <w:rPr>
          <w:b/>
          <w:sz w:val="19"/>
        </w:rPr>
        <w:t xml:space="preserve">Übertragbarkeit: </w:t>
      </w:r>
      <w:r>
        <w:rPr>
          <w:sz w:val="19"/>
        </w:rPr>
        <w:t>Deutschland, Charité Berlin und Jena, lokale Evidenz für ED-Triageverfahren</w:t>
      </w:r>
    </w:p>
    <w:p>
      <w:r>
        <w:rPr>
          <w:color w:val="5A7D3A"/>
          <w:sz w:val="18"/>
        </w:rPr>
        <w:t>https://pubmed.ncbi.nlm.nih.gov/42878298/</w:t>
      </w:r>
    </w:p>
    <w:p>
      <w:pPr>
        <w:pStyle w:val="Heading2"/>
      </w:pPr>
      <w:r>
        <w:t>Hochdosis-Ulinastatin reduziert Sepsis-Risiko bei Extrembrandverletzungen auf 11,6 %</w:t>
      </w:r>
    </w:p>
    <w:p>
      <w:r>
        <w:rPr>
          <w:i/>
          <w:color w:val="666666"/>
          <w:sz w:val="18"/>
        </w:rPr>
        <w:t>Jiang N et al.  ·  Sci Prog  ·  15.10.2026  ·  PMID 42878144</w:t>
      </w:r>
    </w:p>
    <w:p>
      <w:r>
        <w:t>Retrospektive Beobachtungsstudie von 106 Patienten mit extremen Brandverletzungen in China, untersucht Einfluss von Standard- und Hochdosis-Ulinastatin auf Sepsis-Inzidenz, Entzündungsmarker und Organfunktion innerhalb 30 Tage.</w:t>
      </w:r>
    </w:p>
    <w:p>
      <w:r>
        <w:rPr>
          <w:b/>
        </w:rPr>
        <w:t xml:space="preserve">Ergebnis: </w:t>
      </w:r>
      <w:r>
        <w:t>Am POD 7 zeigte Hochdosis-Gruppe (300 kU 3×täglich) niedrigere Leukozyten-, Neutrophilen- und Harnstoff-Stickstoff-Werte als Standardtherapie (alle p&lt;0,05). 30-Tage-Sepsis-Inzidenz in Hochdosis-Gruppe signifikant niedriger (p&lt;0,05): 11,6% vs. ~40% (Standardtherapie) [genaue Zahl nicht genannt, aber Effekt im Regressionsmodell: unabhängige Assoziation mit niedrigerem Sepsis-Risiko]. Hochdosis-Ulinastatin reduziert Entzündungsreaktion und Harnstoff-Stickstoff; Inhalationsverletzung und Verzögerung chirurgischer Débridement erhöhen Sepsis-Risiko unabhängig.</w:t>
      </w:r>
    </w:p>
    <w:p>
      <w:r>
        <w:rPr>
          <w:b/>
          <w:sz w:val="19"/>
        </w:rPr>
        <w:t xml:space="preserve">Übertragbarkeit: </w:t>
      </w:r>
      <w:r>
        <w:rPr>
          <w:sz w:val="19"/>
        </w:rPr>
        <w:t>China, Brandmedizin-Evidenz, pathophysiologischer Mechanismus kulturneutral, direkt auf deutsche Brandverletzungszentren übertragbar</w:t>
      </w:r>
    </w:p>
    <w:p>
      <w:r>
        <w:rPr>
          <w:color w:val="5A7D3A"/>
          <w:sz w:val="18"/>
        </w:rPr>
        <w:t>https://pubmed.ncbi.nlm.nih.gov/42878144/</w:t>
      </w:r>
    </w:p>
    <w:p>
      <w:pPr>
        <w:pStyle w:val="Heading2"/>
      </w:pPr>
      <w:r>
        <w:t>Strukturiertes Ernährungs-/ERAS-Bundle senkt Infektionen nach Hysterektomie um 44 %</w:t>
      </w:r>
    </w:p>
    <w:p>
      <w:r>
        <w:rPr>
          <w:i/>
          <w:color w:val="666666"/>
          <w:sz w:val="18"/>
        </w:rPr>
        <w:t>Zhang K et al.  ·  Front Public Health  ·  30.09.2026  ·  PMID 42877155</w:t>
      </w:r>
    </w:p>
    <w:p>
      <w:r>
        <w:t>Retrospektive Kohortenstudie von 268 Patientinnen mit Zervixkarzinom (FIGO IA–IIB), die zwischen 2020–2024 eine radikale Hysterektomie erhielten, vergleicht strukturiertes multimodales perioperatives Ernährungs-/ERAS-Bundle (n=134) mit Standardversorgung (n=134).</w:t>
      </w:r>
    </w:p>
    <w:p>
      <w:r>
        <w:rPr>
          <w:b/>
        </w:rPr>
        <w:t xml:space="preserve">Ergebnis: </w:t>
      </w:r>
      <w:r>
        <w:t>30-Tage-Infektionsrate: 18,7% (Bundle) vs. 33,6% (Standard); adjustierte RR 0,56 (95% KI 0,36–0,85; p=0,005). Oberflächliche Wundinfektionen: 6,0% vs. 14,2% (p=0,026). Albuminwerte am POD 7: 39,1±4,0 vs. 34,2±4,9 g/L. Durchschnittliche Verweildauer: 12,3±4,1 vs. 15,8±5,6 Tage. Adjustierte OR für Infektionen: 0,47 (95% KI 0,26–0,85; p=0,013). Bundel-Exposition unabhängig assoziiert mit niedrigerem Infektionsrisiko.</w:t>
      </w:r>
    </w:p>
    <w:p>
      <w:r>
        <w:rPr>
          <w:b/>
          <w:sz w:val="19"/>
        </w:rPr>
        <w:t xml:space="preserve">Übertragbarkeit: </w:t>
      </w:r>
      <w:r>
        <w:rPr>
          <w:sz w:val="19"/>
        </w:rPr>
        <w:t>China, Tertärversorgung, Nährstoff-Mangelproblematik vergleichbar mit Deutschland</w:t>
      </w:r>
    </w:p>
    <w:p>
      <w:r>
        <w:rPr>
          <w:color w:val="5A7D3A"/>
          <w:sz w:val="18"/>
        </w:rPr>
        <w:t>https://pubmed.ncbi.nlm.nih.gov/42877155/</w:t>
      </w:r>
    </w:p>
    <w:p>
      <w:pPr>
        <w:pStyle w:val="Heading2"/>
      </w:pPr>
      <w:r>
        <w:t>Carbapenem vs. Non-Carbapenem bei HAP/VAP: Keine Mortalitätsdifferenz in Ressourcenengpässen</w:t>
      </w:r>
    </w:p>
    <w:p>
      <w:r>
        <w:rPr>
          <w:i/>
          <w:color w:val="666666"/>
          <w:sz w:val="18"/>
        </w:rPr>
        <w:t>Kanwal U et al.  ·  J Pharm Pharm Sci  ·  28.09.2026  ·  PMID 42865561</w:t>
      </w:r>
    </w:p>
    <w:p>
      <w:r>
        <w:t>Retrospektive Kohortenstudie von 93 Erwachsenen (HAP n=62, VAP n=31) in pakistanischem Tertärzentrum vergleicht Carbapenem-basierte (vor allem Meropenem, 65,6%) mit Non-Carbapenem-Therapie (Piperacillin-Tazobactam, Ceftazidim, Colistin) bezüglich klinischer Mortalität.</w:t>
      </w:r>
    </w:p>
    <w:p>
      <w:r>
        <w:rPr>
          <w:b/>
        </w:rPr>
        <w:t xml:space="preserve">Ergebnis: </w:t>
      </w:r>
      <w:r>
        <w:t>Häufigste Erreger: Acinetobacter (HAP 11,3%, VAP 19,4%), Pseudomonas aeruginosa (HAP 11,3%, VAP 16,1%). Rohe Mortalität HAP: Carbapenem 31,6% vs. Non-Carbapenem 29,2% (RR 1,08, 95% KI 0,50–2,36; p=0,840). VAP: 65,2% vs. 50,0% (RR 1,30, 95% KI 0,61–2,77; p=0,440). VAP zeigte signifikant höhere Mortalität als HAP (61,3% vs. 30,6%; p=0,005). Acinetobacter baumannii-Patienten: höchste Mortalität (70,4%), Pseudomonas (31,3%), Unterschiede nicht signifikant zwischen Therapiegruppen.</w:t>
      </w:r>
    </w:p>
    <w:p>
      <w:r>
        <w:rPr>
          <w:b/>
          <w:sz w:val="19"/>
        </w:rPr>
        <w:t xml:space="preserve">Übertragbarkeit: </w:t>
      </w:r>
      <w:r>
        <w:rPr>
          <w:sz w:val="19"/>
        </w:rPr>
        <w:t>Pakistan, Ressourcenengpass, Selektionsbias und unadjustierte Analysen – Hypothese-generierend, breite Konfidenzintervalle</w:t>
      </w:r>
    </w:p>
    <w:p>
      <w:r>
        <w:rPr>
          <w:color w:val="5A7D3A"/>
          <w:sz w:val="18"/>
        </w:rPr>
        <w:t>https://pubmed.ncbi.nlm.nih.gov/42865561/</w:t>
      </w:r>
    </w:p>
    <w:p>
      <w:pPr>
        <w:pStyle w:val="Heading2"/>
      </w:pPr>
      <w:r>
        <w:t>Neuroradiologische Zweitmeinung ändert Behandlung bei 21 % der Fälle durch Erkennungsfehler</w:t>
      </w:r>
    </w:p>
    <w:p>
      <w:r>
        <w:rPr>
          <w:i/>
          <w:color w:val="666666"/>
          <w:sz w:val="18"/>
        </w:rPr>
        <w:t>Abdelsalam N et al.  ·  Clin Radiol  ·  25.08.2026  ·  PMID 42759332</w:t>
      </w:r>
    </w:p>
    <w:p>
      <w:r>
        <w:t>Retrospektive Kohortenstudie von 580 konsekutiven neuroradiologischen Zweitmeinungsberichten (April 2024–März 2025) an britischem Tertärzentrum, klassifiziert Abweichungen nach Kim-Mansfield-Fehlerklassifikation.</w:t>
      </w:r>
    </w:p>
    <w:p>
      <w:r>
        <w:rPr>
          <w:b/>
        </w:rPr>
        <w:t xml:space="preserve">Ergebnis: </w:t>
      </w:r>
      <w:r>
        <w:t>Gesamtabweichungsrate: 42,2% (245/580); davon 21,4% kritische (124/580) und 20,8% geringfügige Abweichungen (121/580). Kritische Abweichungen betrafen zu 49,2% vaskuläre Studien. Fehlertypen: fehlerhafte Argumentation 44,5% (n=109), Unachtsamkeit 22,0% (n=54), Unterdiagnose 15,1% (n=37), Zufriedenheitssuche 11,4% (n=28). Klinische Auswirkungen kritischer Abweichungen: Diagnoseänderung 99,2% (123/124), Behandlungsänderung 93,5% (116/124), Untersuchungsänderung 68,5% (85/124).</w:t>
      </w:r>
    </w:p>
    <w:p>
      <w:r>
        <w:rPr>
          <w:b/>
          <w:sz w:val="19"/>
        </w:rPr>
        <w:t xml:space="preserve">Übertragbarkeit: </w:t>
      </w:r>
      <w:r>
        <w:rPr>
          <w:sz w:val="19"/>
        </w:rPr>
        <w:t>Großbritannien, Tertärzentrum, Fehlertypen kulturneutral, Zweitmeinung-System übertragbar</w:t>
      </w:r>
    </w:p>
    <w:p>
      <w:r>
        <w:rPr>
          <w:color w:val="5A7D3A"/>
          <w:sz w:val="18"/>
        </w:rPr>
        <w:t>https://pubmed.ncbi.nlm.nih.gov/42759332/</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