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24.09.2026  |  6 Studien  |  safety.m-vf.de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Probiotika senkten schwere Morbidität bei sehr unreifen Neugeborenen um Zwei Drittel</w:t>
      </w:r>
    </w:p>
    <w:p>
      <w:r>
        <w:rPr>
          <w:i/>
          <w:color w:val="666666"/>
          <w:sz w:val="18"/>
        </w:rPr>
        <w:t>Mitha A et al.  ·  JAMA Netw Open  ·  01.09.2026  ·  PMID 42776528</w:t>
      </w:r>
    </w:p>
    <w:p>
      <w:r>
        <w:t>Analyse von 4.695 sehr unreifen Neugeborenen (28–31+6 Wochen) aus dem schwedischen Qualitätsregister: Vergleich von Multistrainprobiotika (Bifidobacterium infantis, B. lactis, Streptococcus thermophilus) versus Kontrolle.</w:t>
      </w:r>
    </w:p>
    <w:p>
      <w:r>
        <w:rPr>
          <w:b/>
        </w:rPr>
        <w:t xml:space="preserve">Ergebnis: </w:t>
      </w:r>
      <w:r>
        <w:t>Probiotika senkten das zusammengesetzte Ergebnis Tod oder nekrotisierende Enterokolitis von 3,4 % auf 0,8 % (adjustiertes relatives Risiko 0,28; 95%-KI 0,14–0,56). Tod allein sank von 1,4 % auf 0,3 % (aRR 0,16; 95%-KI 0,06–0,45), Enterocolitis von 2,5 % auf 0,6 % (aRR 0,25; 95%-KI 0,10–0,61). Sepsis wurde nicht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Population-based Register, Kausalitätsfrage dennoch offen bei neuer Empfehlung (2020).</w:t>
      </w:r>
    </w:p>
    <w:p>
      <w:r>
        <w:rPr>
          <w:color w:val="5A7D3A"/>
          <w:sz w:val="18"/>
        </w:rPr>
        <w:t>https://pubmed.ncbi.nlm.nih.gov/42776528/</w:t>
      </w:r>
    </w:p>
    <w:p>
      <w:pPr>
        <w:pStyle w:val="Heading2"/>
      </w:pPr>
      <w:r>
        <w:t>Stevens-Johnson-Syndrom: Kortikosteroide bevorzugt, aber Behandlungspraxis heterogen auch bei Experten</w:t>
      </w:r>
    </w:p>
    <w:p>
      <w:r>
        <w:rPr>
          <w:i/>
          <w:color w:val="666666"/>
          <w:sz w:val="18"/>
        </w:rPr>
        <w:t>Preclaro IA et al.  ·  Acta Derm Venereol  ·  23.09.2026  ·  PMID 42775869</w:t>
      </w:r>
    </w:p>
    <w:p>
      <w:r>
        <w:t>Querschnitts-Umfrage von 48 philippinischen Dermatologen zu Management von SJS/TEN mittels 6 standardisierter klinischer Szenarien; Weighted Scores, Friedman-Tests.</w:t>
      </w:r>
    </w:p>
    <w:p>
      <w:r>
        <w:rPr>
          <w:b/>
        </w:rPr>
        <w:t xml:space="preserve">Ergebnis: </w:t>
      </w:r>
      <w:r>
        <w:t>Kortikosteroide von 85,4 % verwendet; 35,4 % behandelten selektive Fälle mit supportiver Pflege allein. Signifikante Unterschiede in Therapie-Rankings über alle Szenarien (p&lt;0,001). Übereinstimmung groß für einfache, klein für komplexe Fälle (W=0,516 vs. W=0,236). Heterogenität auch unter Experten für komplexe 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Philippinen, ressourcenlimitiertes Setting, Befund zur therapeutischen Unsicherheit breit anwendbar.</w:t>
      </w:r>
    </w:p>
    <w:p>
      <w:r>
        <w:rPr>
          <w:color w:val="5A7D3A"/>
          <w:sz w:val="18"/>
        </w:rPr>
        <w:t>https://pubmed.ncbi.nlm.nih.gov/42775869/</w:t>
      </w:r>
    </w:p>
    <w:p>
      <w:pPr>
        <w:pStyle w:val="Heading2"/>
      </w:pPr>
      <w:r>
        <w:t>Händehygiene-Adhärenz von Fachkräften 23 % unter Selbsteinschätzung; Wissen allein verbessert Verhalten nicht</w:t>
      </w:r>
    </w:p>
    <w:p>
      <w:r>
        <w:rPr>
          <w:i/>
          <w:color w:val="666666"/>
          <w:sz w:val="18"/>
        </w:rPr>
        <w:t>Nykvist G et al.  ·  Front Public Health  ·  08.09.2026  ·  PMID 42774319</w:t>
      </w:r>
    </w:p>
    <w:p>
      <w:r>
        <w:t>Querschnittsstudie mit strukturierter Beobachtung, Wissenstest und Fragebogen bei 69 Fachkräften (Pflegekräfte, Ärzte, Assistenten) einer schwedischen Infektionsabteilung über vier Wochen.</w:t>
      </w:r>
    </w:p>
    <w:p>
      <w:r>
        <w:rPr>
          <w:b/>
        </w:rPr>
        <w:t xml:space="preserve">Ergebnis: </w:t>
      </w:r>
      <w:r>
        <w:t>Beobachtete Adhärenz zu Hygiene-Routinen: 76,4 % (±20,2). Selbsteinschätzung aber 92,1 % (±3,3). Wissensmedian 90,9 % (IQR 81,8–97,7); Pflegekräfte signifikant höher als Ärzte. Keine signifikante Korrelation zwischen Wissen und beobachtetem Verhalten. Organisationskultur, nicht Wissen, ist 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Infektionsprävention, Befund zur Diskrepanz zwischen Wissen und Tun universal.</w:t>
      </w:r>
    </w:p>
    <w:p>
      <w:r>
        <w:rPr>
          <w:color w:val="5A7D3A"/>
          <w:sz w:val="18"/>
        </w:rPr>
        <w:t>https://pubmed.ncbi.nlm.nih.gov/42774319/</w:t>
      </w:r>
    </w:p>
    <w:p>
      <w:pPr>
        <w:pStyle w:val="Heading2"/>
      </w:pPr>
      <w:r>
        <w:t>Medikationsfehler bei Kindern: Vorbereitung/Applikation 68 % aller Fehler mit doppeltem Schwererisiko</w:t>
      </w:r>
    </w:p>
    <w:p>
      <w:r>
        <w:rPr>
          <w:i/>
          <w:color w:val="666666"/>
          <w:sz w:val="18"/>
        </w:rPr>
        <w:t>Hirano D et al.  ·  Eur J Pediatr  ·  23.09.2026  ·  PMID 42773260</w:t>
      </w:r>
    </w:p>
    <w:p>
      <w:r>
        <w:t>Nationale retrospektive Analyse von 546 pädiatrischen Medikationsincidenten aus 12 Jahren (2013–2024) der japanischen Meldedatenbank; Schweregrad ≥3b bei 32,6 %.</w:t>
      </w:r>
    </w:p>
    <w:p>
      <w:r>
        <w:rPr>
          <w:b/>
        </w:rPr>
        <w:t xml:space="preserve">Ergebnis: </w:t>
      </w:r>
      <w:r>
        <w:t>Fehler in Vorbereitung und Applikation (nicht Verschreibung): 67,9 % aller Incidents; diese waren mit höherer Schwere assoziiert (aPR 2,03; 95%-KI 1,38–2,98). Extravasation in 35 Fällen: 82,9 % schwer. Ärzte-Fehler schwerwiegender als Pflege-Fehler (aPR 0,55; 95%-KI 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Meldedatenbank national, Struktur ähnlich deutschen Qualitätsmeldesystemen.</w:t>
      </w:r>
    </w:p>
    <w:p>
      <w:r>
        <w:rPr>
          <w:color w:val="5A7D3A"/>
          <w:sz w:val="18"/>
        </w:rPr>
        <w:t>https://pubmed.ncbi.nlm.nih.gov/42773260/</w:t>
      </w:r>
    </w:p>
    <w:p>
      <w:pPr>
        <w:pStyle w:val="Heading2"/>
      </w:pPr>
      <w:r>
        <w:t>Niedriger Blutdruck (≤100 mmHg) in ersten 48 h verschlechtert Sepsis-AKI-Prognose: Mortalität verdoppelt bis verdreifacht</w:t>
      </w:r>
    </w:p>
    <w:p>
      <w:r>
        <w:rPr>
          <w:i/>
          <w:color w:val="666666"/>
          <w:sz w:val="18"/>
        </w:rPr>
        <w:t>Sriwalosakul T et al.  ·  Ann Med  ·  22.09.2026  ·  PMID 42768944</w:t>
      </w:r>
    </w:p>
    <w:p>
      <w:r>
        <w:t>Retrospektive Einzelzenter-Kohorte von 476 nicht-kritischen Patienten mit Sepsis-assoziierter akuter Nierenschädigung (2011–2020); mittlerer systolischer Druck in den ersten 48 h kategorisiert.</w:t>
      </w:r>
    </w:p>
    <w:p>
      <w:r>
        <w:rPr>
          <w:b/>
        </w:rPr>
        <w:t xml:space="preserve">Ergebnis: </w:t>
      </w:r>
      <w:r>
        <w:t>Mittlerer systolischer Druck ≤100 mmHg: 80 % erreichten primäres Composite (25 %-GFR-Abfall oder Dialyse oder 1-Jahres-Mortalität) vs. 46–51 % bei höheren Drücken (p&lt;0,001). Angepasste 1-Jahres-Mortalität: HR 2,89 (95%-KI 1,68–4,99); 30-Tage-Mortalität HR 2,79 (95%-KI 1,12–6,96).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Einzelzenter, Blutdruck-Prognostik für Sepsis international vergleichbar.</w:t>
      </w:r>
    </w:p>
    <w:p>
      <w:r>
        <w:rPr>
          <w:color w:val="5A7D3A"/>
          <w:sz w:val="18"/>
        </w:rPr>
        <w:t>https://pubmed.ncbi.nlm.nih.gov/42768944/</w:t>
      </w:r>
    </w:p>
    <w:p>
      <w:pPr>
        <w:pStyle w:val="Heading2"/>
      </w:pPr>
      <w:r>
        <w:t>Ernährungsindex und Inflammation treffen Sepsismortalität besser als SOFA-Score allein</w:t>
      </w:r>
    </w:p>
    <w:p>
      <w:r>
        <w:rPr>
          <w:i/>
          <w:color w:val="666666"/>
          <w:sz w:val="18"/>
        </w:rPr>
        <w:t>Zhang L et al.  ·  BMC Infect Dis  ·  12.08.2026  ·  PMID 42768332</w:t>
      </w:r>
    </w:p>
    <w:p>
      <w:r>
        <w:t>Retrospektive Kohorte: 149 Klinikkranke und 200 MIMIC-IV-Patienten mit Sepsis; Kaplan-Meier, Cox-Regression; Prognoseernährungsindex (PNI) und Neapel-Prognose-Score (NPS).</w:t>
      </w:r>
    </w:p>
    <w:p>
      <w:r>
        <w:rPr>
          <w:b/>
        </w:rPr>
        <w:t xml:space="preserve">Ergebnis: </w:t>
      </w:r>
      <w:r>
        <w:t>Niedrige PNI (&lt;32,1) und hohe NPS unabhängig mit 28-Tage-Mortalität assoziiert. Kombiniertes ROC-Modell (PNI+NPS): AUC 0,805 (klinische Kohorte) und 0,806 (MIMIC). Vorhersagekraft besser als SOFA allein. Kalibrierungskurven zeigten hohe Übereinstimmung.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China/USA-Datensätze, validiert in zwei unabhängigen Kohorten, Marker international verfügbar.</w:t>
      </w:r>
    </w:p>
    <w:p>
      <w:r>
        <w:rPr>
          <w:color w:val="5A7D3A"/>
          <w:sz w:val="18"/>
        </w:rPr>
        <w:t>https://pubmed.ncbi.nlm.nih.gov/42768332/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