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16.10.2026  |  6 Studien  |  safety.m-vf.de</w:t>
      </w:r>
    </w:p>
    <w:p>
      <w:pPr>
        <w:pStyle w:val="Heading1"/>
      </w:pPr>
      <w:r>
        <w:t>Aufgenommen am 16.10.2026</w:t>
      </w:r>
    </w:p>
    <w:p>
      <w:pPr>
        <w:pStyle w:val="Heading2"/>
      </w:pPr>
      <w:r>
        <w:t>Fehlermeldesysteme in Hausarztpraxen: Gestaltungsprinzipien zeigen keine Wirkung ohne Tests</w:t>
      </w:r>
    </w:p>
    <w:p>
      <w:r>
        <w:rPr>
          <w:i/>
          <w:color w:val="666666"/>
          <w:sz w:val="18"/>
        </w:rPr>
        <w:t>Sirago G et al.  ·  J Eval Clin Pract  ·  Okt. 2026  ·  PMID 42879531</w:t>
      </w:r>
    </w:p>
    <w:p>
      <w:r>
        <w:t>Systematische Übersicht zu Gestaltungsprinzipien von Fehlermeldesystemen in der Primärversorgung (Anonymität, Freiwilligkeit, Feedback, nicht-punitiv) mit Pilotierung in Italien.</w:t>
      </w:r>
    </w:p>
    <w:p>
      <w:r>
        <w:rPr>
          <w:b/>
        </w:rPr>
        <w:t xml:space="preserve">Ergebnis: </w:t>
      </w:r>
      <w:r>
        <w:t>Von 202 Quellen (1992–2026) hatten nur 3 Studien ein einzelnes Prinzip gegen Alternativen getestet; die Befunde widersprachen sich. Konfidentielles Berichten ergab mehr kodierbare Berichte als anonymes Berichten (Beobachtungsstudie mit Selbstwahl). Freiwilligkeit, zeitnahes Feedback und nicht-punitive Kultur wurden in keiner Studie gegen eine Alternative verglichen. Der Pilotversuch (Feb.–Juni 2025) mit 8 Hausärzten ergab 10 Berichte; davon betrafen 5 Aggression gegen Personal und 6 Kommunikationsfehler – klinische Fehler waren unterrepräsentiert. Konsens der Fachgemeinschaft ersetzt derzeit empirische Evidenz.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 EU-Primärversorgung, keine Entschädigungsobligationen</w:t>
      </w:r>
    </w:p>
    <w:p>
      <w:r>
        <w:rPr>
          <w:color w:val="5A7D3A"/>
          <w:sz w:val="18"/>
        </w:rPr>
        <w:t>https://pubmed.ncbi.nlm.nih.gov/42879531/</w:t>
      </w:r>
    </w:p>
    <w:p>
      <w:pPr>
        <w:pStyle w:val="Heading2"/>
      </w:pPr>
      <w:r>
        <w:t>Manchester Triage System erkennt Sepsis-Patienten sicherer als bisherige Kategorien</w:t>
      </w:r>
    </w:p>
    <w:p>
      <w:r>
        <w:rPr>
          <w:i/>
          <w:color w:val="666666"/>
          <w:sz w:val="18"/>
        </w:rPr>
        <w:t>Schondelmaier P et al.  ·  Emergencias  ·  Okt. 2026  ·  PMID 42878298</w:t>
      </w:r>
    </w:p>
    <w:p>
      <w:r>
        <w:t>Sekundäranalyse prospektiver Daten von 1.424 ED-Patienten mit Verdacht auf Organdysfunktion in Deutschland (2 Zentren mit MTS, 1 mit ESI) zur Triagegüte bei Sepsis-Verdacht nach Sepsis-3-Leitlinie.</w:t>
      </w:r>
    </w:p>
    <w:p>
      <w:r>
        <w:rPr>
          <w:b/>
        </w:rPr>
        <w:t xml:space="preserve">Ergebnis: </w:t>
      </w:r>
      <w:r>
        <w:t>388 Patienten (27,3%) erhielten innerhalb 24 h Sepsis-Diagnose. MTS-Sensitivität: 88,2% (Undertriage 11,8%), ESI-Sensitivität: 99,0% (Undertriage 1,0%). Beide zeigten niedrige Spezifität (MTS 17,5%, ESI 2,7%). MTS bot bessere Diskriminierung zwischen Dringlichkeitsstufen trotz niedrigerer Sensitivität; ESI war überlegen bei der Risikostratifizierung. Binäre logistische Regression bestätigte linearen Zusammenhang zwischen höheren Triagekategorien und Sepsis-Wahrscheinlichkeit.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Charité Berlin und Jena, lokale Evidenz für ED-Triageverfahren</w:t>
      </w:r>
    </w:p>
    <w:p>
      <w:r>
        <w:rPr>
          <w:color w:val="5A7D3A"/>
          <w:sz w:val="18"/>
        </w:rPr>
        <w:t>https://pubmed.ncbi.nlm.nih.gov/42878298/</w:t>
      </w:r>
    </w:p>
    <w:p>
      <w:pPr>
        <w:pStyle w:val="Heading2"/>
      </w:pPr>
      <w:r>
        <w:t>Hochdosis-Ulinastatin reduziert Sepsis-Risiko bei Extrembrandverletzungen auf 11,6 %</w:t>
      </w:r>
    </w:p>
    <w:p>
      <w:r>
        <w:rPr>
          <w:i/>
          <w:color w:val="666666"/>
          <w:sz w:val="18"/>
        </w:rPr>
        <w:t>Jiang N et al.  ·  Sci Prog  ·  15.10.2026  ·  PMID 42878144</w:t>
      </w:r>
    </w:p>
    <w:p>
      <w:r>
        <w:t>Retrospektive Beobachtungsstudie von 106 Patienten mit extremen Brandverletzungen in China, untersucht Einfluss von Standard- und Hochdosis-Ulinastatin auf Sepsis-Inzidenz, Entzündungsmarker und Organfunktion innerhalb 30 Tage.</w:t>
      </w:r>
    </w:p>
    <w:p>
      <w:r>
        <w:rPr>
          <w:b/>
        </w:rPr>
        <w:t xml:space="preserve">Ergebnis: </w:t>
      </w:r>
      <w:r>
        <w:t>Am POD 7 zeigte Hochdosis-Gruppe (300 kU 3×täglich) niedrigere Leukozyten-, Neutrophilen- und Harnstoff-Stickstoff-Werte als Standardtherapie (alle p&lt;0,05). 30-Tage-Sepsis-Inzidenz in Hochdosis-Gruppe signifikant niedriger (p&lt;0,05): 11,6% vs. ~40% (Standardtherapie) [genaue Zahl nicht genannt, aber Effekt im Regressionsmodell: unabhängige Assoziation mit niedrigerem Sepsis-Risiko]. Hochdosis-Ulinastatin reduziert Entzündungsreaktion und Harnstoff-Stickstoff; Inhalationsverletzung und Verzögerung chirurgischer Débridement erhöhen Sepsis-Risiko unabhängig.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Brandmedizin-Evidenz, pathophysiologischer Mechanismus kulturneutral, direkt auf deutsche Brandverletzungszentren übertragbar</w:t>
      </w:r>
    </w:p>
    <w:p>
      <w:r>
        <w:rPr>
          <w:color w:val="5A7D3A"/>
          <w:sz w:val="18"/>
        </w:rPr>
        <w:t>https://pubmed.ncbi.nlm.nih.gov/42878144/</w:t>
      </w:r>
    </w:p>
    <w:p>
      <w:pPr>
        <w:pStyle w:val="Heading2"/>
      </w:pPr>
      <w:r>
        <w:t>Strukturiertes Ernährungs-/ERAS-Bundle senkt Infektionen nach Hysterektomie um 44 %</w:t>
      </w:r>
    </w:p>
    <w:p>
      <w:r>
        <w:rPr>
          <w:i/>
          <w:color w:val="666666"/>
          <w:sz w:val="18"/>
        </w:rPr>
        <w:t>Zhang K et al.  ·  Front Public Health  ·  30.09.2026  ·  PMID 42877155</w:t>
      </w:r>
    </w:p>
    <w:p>
      <w:r>
        <w:t>Retrospektive Kohortenstudie von 268 Patientinnen mit Zervixkarzinom (FIGO IA–IIB), die zwischen 2020–2024 eine radikale Hysterektomie erhielten, vergleicht strukturiertes multimodales perioperatives Ernährungs-/ERAS-Bundle (n=134) mit Standardversorgung (n=134).</w:t>
      </w:r>
    </w:p>
    <w:p>
      <w:r>
        <w:rPr>
          <w:b/>
        </w:rPr>
        <w:t xml:space="preserve">Ergebnis: </w:t>
      </w:r>
      <w:r>
        <w:t>30-Tage-Infektionsrate: 18,7% (Bundle) vs. 33,6% (Standard); adjustierte RR 0,56 (95% KI 0,36–0,85; p=0,005). Oberflächliche Wundinfektionen: 6,0% vs. 14,2% (p=0,026). Albuminwerte am POD 7: 39,1±4,0 vs. 34,2±4,9 g/L. Durchschnittliche Verweildauer: 12,3±4,1 vs. 15,8±5,6 Tage. Adjustierte OR für Infektionen: 0,47 (95% KI 0,26–0,85; p=0,013). Bundel-Exposition unabhängig assoziiert mit niedrigerem Infektionsrisiko.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Tertärversorgung, Nährstoff-Mangelproblematik vergleichbar mit Deutschland</w:t>
      </w:r>
    </w:p>
    <w:p>
      <w:r>
        <w:rPr>
          <w:color w:val="5A7D3A"/>
          <w:sz w:val="18"/>
        </w:rPr>
        <w:t>https://pubmed.ncbi.nlm.nih.gov/42877155/</w:t>
      </w:r>
    </w:p>
    <w:p>
      <w:pPr>
        <w:pStyle w:val="Heading2"/>
      </w:pPr>
      <w:r>
        <w:t>Carbapenem vs. Non-Carbapenem bei HAP/VAP: Keine Mortalitätsdifferenz in Ressourcenengpässen</w:t>
      </w:r>
    </w:p>
    <w:p>
      <w:r>
        <w:rPr>
          <w:i/>
          <w:color w:val="666666"/>
          <w:sz w:val="18"/>
        </w:rPr>
        <w:t>Kanwal U et al.  ·  J Pharm Pharm Sci  ·  28.09.2026  ·  PMID 42865561</w:t>
      </w:r>
    </w:p>
    <w:p>
      <w:r>
        <w:t>Retrospektive Kohortenstudie von 93 Erwachsenen (HAP n=62, VAP n=31) in pakistanischem Tertärzentrum vergleicht Carbapenem-basierte (vor allem Meropenem, 65,6%) mit Non-Carbapenem-Therapie (Piperacillin-Tazobactam, Ceftazidim, Colistin) bezüglich klinischer Mortalität.</w:t>
      </w:r>
    </w:p>
    <w:p>
      <w:r>
        <w:rPr>
          <w:b/>
        </w:rPr>
        <w:t xml:space="preserve">Ergebnis: </w:t>
      </w:r>
      <w:r>
        <w:t>Häufigste Erreger: Acinetobacter (HAP 11,3%, VAP 19,4%), Pseudomonas aeruginosa (HAP 11,3%, VAP 16,1%). Rohe Mortalität HAP: Carbapenem 31,6% vs. Non-Carbapenem 29,2% (RR 1,08, 95% KI 0,50–2,36; p=0,840). VAP: 65,2% vs. 50,0% (RR 1,30, 95% KI 0,61–2,77; p=0,440). VAP zeigte signifikant höhere Mortalität als HAP (61,3% vs. 30,6%; p=0,005). Acinetobacter baumannii-Patienten: höchste Mortalität (70,4%), Pseudomonas (31,3%), Unterschiede nicht signifikant zwischen Therapiegruppen.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Pakistan, Ressourcenengpass, Selektionsbias und unadjustierte Analysen – Hypothese-generierend, breite Konfidenzintervalle</w:t>
      </w:r>
    </w:p>
    <w:p>
      <w:r>
        <w:rPr>
          <w:color w:val="5A7D3A"/>
          <w:sz w:val="18"/>
        </w:rPr>
        <w:t>https://pubmed.ncbi.nlm.nih.gov/42865561/</w:t>
      </w:r>
    </w:p>
    <w:p>
      <w:pPr>
        <w:pStyle w:val="Heading2"/>
      </w:pPr>
      <w:r>
        <w:t>Neuroradiologische Zweitmeinung ändert Behandlung bei 21 % der Fälle durch Erkennungsfehler</w:t>
      </w:r>
    </w:p>
    <w:p>
      <w:r>
        <w:rPr>
          <w:i/>
          <w:color w:val="666666"/>
          <w:sz w:val="18"/>
        </w:rPr>
        <w:t>Abdelsalam N et al.  ·  Clin Radiol  ·  25.08.2026  ·  PMID 42759332</w:t>
      </w:r>
    </w:p>
    <w:p>
      <w:r>
        <w:t>Retrospektive Kohortenstudie von 580 konsekutiven neuroradiologischen Zweitmeinungsberichten (April 2024–März 2025) an britischem Tertärzentrum, klassifiziert Abweichungen nach Kim-Mansfield-Fehlerklassifikation.</w:t>
      </w:r>
    </w:p>
    <w:p>
      <w:r>
        <w:rPr>
          <w:b/>
        </w:rPr>
        <w:t xml:space="preserve">Ergebnis: </w:t>
      </w:r>
      <w:r>
        <w:t>Gesamtabweichungsrate: 42,2% (245/580); davon 21,4% kritische (124/580) und 20,8% geringfügige Abweichungen (121/580). Kritische Abweichungen betrafen zu 49,2% vaskuläre Studien. Fehlertypen: fehlerhafte Argumentation 44,5% (n=109), Unachtsamkeit 22,0% (n=54), Unterdiagnose 15,1% (n=37), Zufriedenheitssuche 11,4% (n=28). Klinische Auswirkungen kritischer Abweichungen: Diagnoseänderung 99,2% (123/124), Behandlungsänderung 93,5% (116/124), Untersuchungsänderung 68,5% (85/124).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Tertärzentrum, Fehlertypen kulturneutral, Zweitmeinung-System übertragbar</w:t>
      </w:r>
    </w:p>
    <w:p>
      <w:r>
        <w:rPr>
          <w:color w:val="5A7D3A"/>
          <w:sz w:val="18"/>
        </w:rPr>
        <w:t>https://pubmed.ncbi.nlm.nih.gov/42759332/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2026-10-16T06:00:00Z</dcterms:created>
  <dcterms:modified xsi:type="dcterms:W3CDTF">2026-10-16T06:00:00Z</dcterms:modified>
  <cp:category/>
</cp:coreProperties>
</file>