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29.09.2026  |  7 Studien  |  safety.m-vf.de</w:t>
      </w:r>
    </w:p>
    <w:p>
      <w:pPr>
        <w:pStyle w:val="Heading1"/>
      </w:pPr>
      <w:r>
        <w:t>Aufgenommen am 29.09.2026</w:t>
      </w:r>
    </w:p>
    <w:p>
      <w:pPr>
        <w:pStyle w:val="Heading2"/>
      </w:pPr>
      <w:r>
        <w:t>Invasive Geräte und Zimmerbelegung mit CRE-Patienten verdoppeln Kolonisierungsrisiko in Langzeitpflege</w:t>
      </w:r>
    </w:p>
    <w:p>
      <w:r>
        <w:rPr>
          <w:i/>
          <w:color w:val="666666"/>
          <w:sz w:val="18"/>
        </w:rPr>
        <w:t>Hwang H et al.  ·  PLoS One  ·  28.09.2026  ·  PMID 42804487</w:t>
      </w:r>
    </w:p>
    <w:p>
      <w:r>
        <w:t>Prospektive aktive Überwachungsstudie an 140 Patienten in 4 südkoreanischen Langzeitkrankenhäusern (Nov. 2023 – Dez. 2024): Asymptomatic-CRE-Kolonisierungsprävalenz und Akquisitionsrisiken wurden untersucht.</w:t>
      </w:r>
    </w:p>
    <w:p>
      <w:r>
        <w:rPr>
          <w:b/>
        </w:rPr>
        <w:t xml:space="preserve">Ergebnis: </w:t>
      </w:r>
      <w:r>
        <w:t>Gesamtprävalenz: 24,3% (34/140); bei Neuzuweisungen 30,8%, bei Dauerpatienten 21,8%. Unter initial negativen Patienten: 8,6% erwarben CRE während Aufenthalt. Cox-Regression: invasive Geräte im letzten Jahr HR 9,83; vorherige Zimmerbelegung mit CRE-Positiven HR 5,01. KPC dominant (80%). Die Studie zeigt: Standardprecautions und zeitnahes Cohorting essentiell.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vergleichbare Struktur langer Betreuung</w:t>
      </w:r>
    </w:p>
    <w:p>
      <w:r>
        <w:rPr>
          <w:color w:val="5A7D3A"/>
          <w:sz w:val="18"/>
        </w:rPr>
        <w:t>https://pubmed.ncbi.nlm.nih.gov/42804487/</w:t>
      </w:r>
    </w:p>
    <w:p>
      <w:pPr>
        <w:pStyle w:val="Heading2"/>
      </w:pPr>
      <w:r>
        <w:t>Frühzeitige hämodynamische Reaktion auf Dobutamin senkt Sepsissterblichkeit</w:t>
      </w:r>
    </w:p>
    <w:p>
      <w:r>
        <w:rPr>
          <w:i/>
          <w:color w:val="666666"/>
          <w:sz w:val="18"/>
        </w:rPr>
        <w:t>Tarbaghia M et al.  ·  Crit Care Explor  ·  01.10.2026  ·  PMID 42804358</w:t>
      </w:r>
    </w:p>
    <w:p>
      <w:r>
        <w:t>Retrospektive Kohortenstudie von 104 Patienten mit septischem Schock und Myokarddysfunktion: Hämodynamische Ansprechbarkeit auf Dobutamin (Steigerung der zentralvenösen O2-Sättigung um ≥5 Prozentpunkte plus Reduktion der Noradrenalin-Äquivalentdosis) wurde nach 2 Stunden definiert und mit 28-Tage-ICU-Mortalität verglichen.</w:t>
      </w:r>
    </w:p>
    <w:p>
      <w:r>
        <w:rPr>
          <w:b/>
        </w:rPr>
        <w:t xml:space="preserve">Ergebnis: </w:t>
      </w:r>
      <w:r>
        <w:t>37 Patienten (36%) waren Responder. Nach multivariater Anpassung war hämodynamische Response mit niedrigerer 28-Tage-ICU-Mortalität assoziiert (OR 0,18; 95%-KI 0,04–0,68; p=0,018): 41% Responder vs. 58% Non-Responder. Responder hatten mehr ICU-freie Tage (17 vs. 0). Baseline-Echokardiographieparameter identifizierten Responder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Sicherheitsbefund und Outcome-Hierarchie sind übertragbar</w:t>
      </w:r>
    </w:p>
    <w:p>
      <w:r>
        <w:rPr>
          <w:color w:val="5A7D3A"/>
          <w:sz w:val="18"/>
        </w:rPr>
        <w:t>https://pubmed.ncbi.nlm.nih.gov/42804358/</w:t>
      </w:r>
    </w:p>
    <w:p>
      <w:pPr>
        <w:pStyle w:val="Heading2"/>
      </w:pPr>
      <w:r>
        <w:t>Prehospital Fieber und gastrointestinale Symptome beeinflussen Antibiotikatiming bei Sepsis</w:t>
      </w:r>
    </w:p>
    <w:p>
      <w:r>
        <w:rPr>
          <w:i/>
          <w:color w:val="666666"/>
          <w:sz w:val="18"/>
        </w:rPr>
        <w:t>Conlon A et al.  ·  JAMA Netw Open  ·  01.09.2026  ·  PMID 42804206</w:t>
      </w:r>
    </w:p>
    <w:p>
      <w:r>
        <w:t>Kohortenstudie an 29.647 Patienten mit vermuteter bakterieller Sepsis: Präsentation mit Fieber erhöhte die Quote zeitiger Antibiotikagabe (≤3h bei Hypotonie, ≤5h ohne), gastrointestinale Symptome senkten sie; zeitige Antibiotika verbesserten 28-Tage-Mortalität auch nach Anpassung für Symptome.</w:t>
      </w:r>
    </w:p>
    <w:p>
      <w:r>
        <w:rPr>
          <w:b/>
        </w:rPr>
        <w:t xml:space="preserve">Ergebnis: </w:t>
      </w:r>
      <w:r>
        <w:t>Unter 6.704 Patienten mit Hypotonie erhielten 65,8% zeitig Antibiotika (innerhalb 3h); unter 22.942 ohne Hypotonie 76,5% (innerhalb 5h). Fieber war mit erhöhten Chancen zeitiger Antibiotika assoziiert (mit Hypotonie: aOR 1,34; ohne: aOR 1,26), gastrointestinale Symptome mit erniedrigten (aOR 0,84 bzw. 0,80). Zeitige Antibiotika: adjustierte absolute Mortalitätsdifferenz −2,10 Prozentpunkte. Die Studie zeigt: Klinische Präsentation steuert Erkennungsgeschwindigkeit, zeitige Therapie bleibt assoziiert mit besseren Outcomes.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Kohortendaten; nur Sicherheitsbefund ist übertragbar</w:t>
      </w:r>
    </w:p>
    <w:p>
      <w:r>
        <w:rPr>
          <w:color w:val="5A7D3A"/>
          <w:sz w:val="18"/>
        </w:rPr>
        <w:t>https://pubmed.ncbi.nlm.nih.gov/42804206/</w:t>
      </w:r>
    </w:p>
    <w:p>
      <w:pPr>
        <w:pStyle w:val="Heading2"/>
      </w:pPr>
      <w:r>
        <w:t>Systemischer Immun-Inflammations-Index senkt Antibiotikatage bei Neugeborenen-Sepsis um ein Drittel</w:t>
      </w:r>
    </w:p>
    <w:p>
      <w:r>
        <w:rPr>
          <w:i/>
          <w:color w:val="666666"/>
          <w:sz w:val="18"/>
        </w:rPr>
        <w:t>Gök ÇC et al.  ·  Eur J Pediatr  ·  28.09.2026  ·  PMID 42804011</w:t>
      </w:r>
    </w:p>
    <w:p>
      <w:r>
        <w:t>Retrospektive Kohortenstudie von 275 Neugeborenen (85 mit Blutkulturbewiesener früher Sepsis, 190 Kontrollen): SII als Marker für therapeutische Ansprechbarkeit und Antibiotic-Stewardship-Potenzial wurde bewertet.</w:t>
      </w:r>
    </w:p>
    <w:p>
      <w:r>
        <w:rPr>
          <w:b/>
        </w:rPr>
        <w:t xml:space="preserve">Ergebnis: </w:t>
      </w:r>
      <w:r>
        <w:t>Bei Diagnose: SII in Sepsisgruppe 812 (IQR 650–1120) vs. 515 (410–630) in Kontrollen; p&lt;0,001; AUC 0,87. Am Tag 3 zeigte SII schnellere Abnahme als CRP in 74,1% der Sepsisfälle. SII könnte schnell-Responder früh erkennen und sicher verkürzte Antibiotika-Kurse lenken – Unterschied zur tradierten CRP-Kinetik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Türkei; Sepsismarker sind länderübergreifend vergleichbar</w:t>
      </w:r>
    </w:p>
    <w:p>
      <w:r>
        <w:rPr>
          <w:color w:val="5A7D3A"/>
          <w:sz w:val="18"/>
        </w:rPr>
        <w:t>https://pubmed.ncbi.nlm.nih.gov/42804011/</w:t>
      </w:r>
    </w:p>
    <w:p>
      <w:pPr>
        <w:pStyle w:val="Heading2"/>
      </w:pPr>
      <w:r>
        <w:t>Scoring-Modell identifiziert Risiko für Endoskop-Reprocessing-Fehler mit 78% Spezifität</w:t>
      </w:r>
    </w:p>
    <w:p>
      <w:r>
        <w:rPr>
          <w:i/>
          <w:color w:val="666666"/>
          <w:sz w:val="18"/>
        </w:rPr>
        <w:t>Fang L et al.  ·  J Int Med Res  ·  28.09.2026  ·  PMID 42803735</w:t>
      </w:r>
    </w:p>
    <w:p>
      <w:r>
        <w:t>Retrospektive Observationsstudie an 2.744 Gastroskopie-Reprocessing-Zyklen in 3 chinesischen Zentren (Jan.–Dez. 2025): Ein Risikomodell wurde zur Vorhersage von Reprocessing-Fehlern entwickelt und intern validiert.</w:t>
      </w:r>
    </w:p>
    <w:p>
      <w:r>
        <w:rPr>
          <w:b/>
        </w:rPr>
        <w:t xml:space="preserve">Ergebnis: </w:t>
      </w:r>
      <w:r>
        <w:t>24,85% Fehlerquote (682/2.744). Sechs unabhängige Prädiktoren: Personal, Wascher-Desinfektor-Typ, Zubehör-Nutzungshäufigkeit, Reparaturvorgeschichte, Zeit bis Reprocessing, Personalalter. Scoring-Bereich −2 bis 18; AUC 0,834 (95%-KI 0,804–0,864) in Validierung. Bei Cutoff ≥10: Sensitivität 0,725, Spezifität 0,808, NPV 0,899. Praktisches System zur Früherkennung risikobehafteter Prozesse.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externe Validierung notwendig</w:t>
      </w:r>
    </w:p>
    <w:p>
      <w:r>
        <w:rPr>
          <w:color w:val="5A7D3A"/>
          <w:sz w:val="18"/>
        </w:rPr>
        <w:t>https://pubmed.ncbi.nlm.nih.gov/42803735/</w:t>
      </w:r>
    </w:p>
    <w:p>
      <w:pPr>
        <w:pStyle w:val="Heading2"/>
      </w:pPr>
      <w:r>
        <w:t>Risikoscores für Tuberkulose-Medikamentennebenwirkungen zeigen moderate Diskriminierung, aber hohe Bias</w:t>
      </w:r>
    </w:p>
    <w:p>
      <w:r>
        <w:rPr>
          <w:i/>
          <w:color w:val="666666"/>
          <w:sz w:val="18"/>
        </w:rPr>
        <w:t>Li H et al.  ·  Front Public Health  ·  11.09.2026  ·  PMID 42798580</w:t>
      </w:r>
    </w:p>
    <w:p>
      <w:r>
        <w:t>Systematische Übersicht und Metaanalyse von 26 Studien (31 Modelle, n≈41.734) zu Vorhersagemodellen für medikamenteninduzierte Leberschädigung unter Anti-TB-Therapie in Ostasien: Validierung, Bias und Diskriminationsfähigkeit wurden bewertet.</w:t>
      </w:r>
    </w:p>
    <w:p>
      <w:r>
        <w:rPr>
          <w:b/>
        </w:rPr>
        <w:t xml:space="preserve">Ergebnis: </w:t>
      </w:r>
      <w:r>
        <w:t>Gepoolte AUC=0,81 (0,624–1,0 im Einzelnen). Nur eine Studie mit niedrigem Bias-Risiko; alle anderen mit hohem Risiko wegen fehlerhafter Datenbehandlung und univariater Prädiktorenauswahl. Risikofaktoren (p&lt;0,05): Lebererkrankungen, extrapulmonale TB, Alter ≥60, Alkohol, Komorbiditäten, Rückfallbehandlung, erhöhte AST, Diabetes, Rauchen. Uric acid inverse assoziiert. Hepatoprotektive Mittel zeigten keine Wirkung.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Ostasien; methodische Schwächen begrenzen Anwendbarkeit</w:t>
      </w:r>
    </w:p>
    <w:p>
      <w:r>
        <w:rPr>
          <w:color w:val="5A7D3A"/>
          <w:sz w:val="18"/>
        </w:rPr>
        <w:t>https://pubmed.ncbi.nlm.nih.gov/42798580/</w:t>
      </w:r>
    </w:p>
    <w:p>
      <w:pPr>
        <w:pStyle w:val="Heading2"/>
      </w:pPr>
      <w:r>
        <w:t>Candida-parapsilosis-Fungämien auf Intensivstationen: resistenzabhängig höhere Sterblichkeit, keine schnellere Therapie hilft</w:t>
      </w:r>
    </w:p>
    <w:p>
      <w:r>
        <w:rPr>
          <w:i/>
          <w:color w:val="666666"/>
          <w:sz w:val="18"/>
        </w:rPr>
        <w:t>Katsiari M et al.  ·  Pathogens  ·  13.07.2026  ·  PMID 42515061</w:t>
      </w:r>
    </w:p>
    <w:p>
      <w:r>
        <w:t>Retrospektive Observationsstudie von 90 ICU-Patienten mit Candidämie (Athen, Griechenland): Speziesverteilung, Fluconazol-Resistenzen und Mortalitätsassoziationen wurden über ein Jahrzehnt verfolgt.</w:t>
      </w:r>
    </w:p>
    <w:p>
      <w:r>
        <w:rPr>
          <w:b/>
        </w:rPr>
        <w:t xml:space="preserve">Ergebnis: </w:t>
      </w:r>
      <w:r>
        <w:t>C. parapsilosis 33,7% (41,9% fluconazol-resistent), C. albicans 31,5%, C. auris 23,9%. Non-albicans-Bacteraemia trat später auf, mit niedrigerer Severity, aber fünffacher Vortherapie mit Antimykotika. Gesamtmortalität 53,3%; kein signifikanter Art-Unterschied. Weder prompte Therapie noch Antimykotikaklasse waren mit besserer Überlebenschance assoziiert. Mangelnde Effektivität therapeutischer Timing-Strategien.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 (Europa); comparable ICU-Praxis</w:t>
      </w:r>
    </w:p>
    <w:p>
      <w:r>
        <w:rPr>
          <w:color w:val="5A7D3A"/>
          <w:sz w:val="18"/>
        </w:rPr>
        <w:t>https://pubmed.ncbi.nlm.nih.gov/42515061/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2026-09-29T06:00:00Z</dcterms:created>
  <dcterms:modified xsi:type="dcterms:W3CDTF">2026-09-29T06:00:00Z</dcterms:modified>
  <cp:category/>
</cp:coreProperties>
</file>