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14.09.2026  |  7 Studien  |  safety.m-vf.de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Digitale Risikovorhersage-Tools für Medikationsschaden: Klinikerperspektiven zu Adoptionsbarrieren</w:t>
      </w:r>
    </w:p>
    <w:p>
      <w:r>
        <w:rPr>
          <w:i/>
          <w:color w:val="666666"/>
          <w:sz w:val="18"/>
        </w:rPr>
        <w:t>Lam JYJ et al.  ·  J Eval Clin Pract  ·  Sept. 2026  ·  PMID 42732558</w:t>
      </w:r>
    </w:p>
    <w:p>
      <w:r>
        <w:t>Qualitative Studie mit 22 semi-strukturierten Interviews (6 Ärzte, 11 Apotheker, 5 Informatiker) an drei australischen Krankenhäusern: Barrieren und Enabler für die Implementierung digitaler Risikovorhersage-Tools (RPTs) zur Medikationssicherheit.</w:t>
      </w:r>
    </w:p>
    <w:p>
      <w:r>
        <w:rPr>
          <w:b/>
        </w:rPr>
        <w:t xml:space="preserve">Ergebnis: </w:t>
      </w:r>
      <w:r>
        <w:t>Fünf Themen identifiziert: Kliniker-Vertrauen, wahrgenommener Nutzen, organisationale Bereitschaft, Workflow-Integration, Zuverlässigkeit. Gewünschte Merkmale: Automatisierung, Feedback-Funktionalität, Workflow-Kompatibilität. Enablers: umfassendes Feedback, Ressourcentplanung. Barrieren: unzureichende Systemintegration, Tool-Zuverlässigkeitsunsicherheit. 85 % erkannten Wert für Medikationssicherheit.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Sozialversicherungssystem unterschiedlich, Implementierungs-Ergebnisse gelten konzeptuell</w:t>
      </w:r>
    </w:p>
    <w:p>
      <w:r>
        <w:rPr>
          <w:color w:val="5A7D3A"/>
          <w:sz w:val="18"/>
        </w:rPr>
        <w:t>https://pubmed.ncbi.nlm.nih.gov/42732558/</w:t>
      </w:r>
    </w:p>
    <w:p>
      <w:pPr>
        <w:pStyle w:val="Heading2"/>
      </w:pPr>
      <w:r>
        <w:t>Frühe Erkennung und Behandlung von CAR-T- und VST-Zelltherapie-Komplikationen: Klinische Leitlinie</w:t>
      </w:r>
    </w:p>
    <w:p>
      <w:r>
        <w:rPr>
          <w:i/>
          <w:color w:val="666666"/>
          <w:sz w:val="18"/>
        </w:rPr>
        <w:t>Ussowicz M et al.  ·  Front Immunol  ·  28.08.2026  ·  PMID 42729916</w:t>
      </w:r>
    </w:p>
    <w:p>
      <w:r>
        <w:t>Narrative Übersicht mit aktualisierten Empfehlungen zur Erkennung und Behandlung früher Toxizitätsprofile nach CAR-T-Zelltherapie und virusspezifischen T-Lymphozyten, basierend auf validierten Grading-Kriterien.</w:t>
      </w:r>
    </w:p>
    <w:p>
      <w:r>
        <w:rPr>
          <w:b/>
        </w:rPr>
        <w:t xml:space="preserve">Ergebnis: </w:t>
      </w:r>
      <w:r>
        <w:t>CRS wird nach ASTCT-Kriterien klassifiziert, Tocilizumab ist Erst-Therapie. Steroid-refraktäre ICANS wird mit hochdosiertem intravenösem Anakinra (bis 12 mg/kg/Tag) behandelt – derzeit best-studied second-line-Option. ICAHT nutzt validiertes EHA/EBMT-Framework (früh Tag 0–30, spät &gt;Tag 30). Übersicht nennt konkrete Monitoreintervalle, ICU-Eskalationskriterien und differenziell-diagnostische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Praxis; Empfehlungen sind versorgungssystemunabhängig</w:t>
      </w:r>
    </w:p>
    <w:p>
      <w:r>
        <w:rPr>
          <w:color w:val="5A7D3A"/>
          <w:sz w:val="18"/>
        </w:rPr>
        <w:t>https://pubmed.ncbi.nlm.nih.gov/42729916/</w:t>
      </w:r>
    </w:p>
    <w:p>
      <w:pPr>
        <w:pStyle w:val="Heading2"/>
      </w:pPr>
      <w:r>
        <w:t>Multidimensionales Nomogramm zur Stratifizierung des Blutinfektionsrisikos bei Hämatologischen Malignitäten</w:t>
      </w:r>
    </w:p>
    <w:p>
      <w:r>
        <w:rPr>
          <w:i/>
          <w:color w:val="666666"/>
          <w:sz w:val="18"/>
        </w:rPr>
        <w:t>Lan L et al.  ·  Front Cell Infect Microbiol  ·  27.08.2026  ·  PMID 42723754</w:t>
      </w:r>
    </w:p>
    <w:p>
      <w:r>
        <w:t>Retrospektive Kohortenstudie mit 3014 Patienten mit hämatologischen Malignitäten: Entwicklung eines Prognosemodells zur Vorhersage von Blutinfektionen und 90-Tage-Mortalität.</w:t>
      </w:r>
    </w:p>
    <w:p>
      <w:r>
        <w:rPr>
          <w:b/>
        </w:rPr>
        <w:t xml:space="preserve">Ergebnis: </w:t>
      </w:r>
      <w:r>
        <w:t>Das Modell für Blutinfektion erreichte AUC 0,775 (Ableitungskohorte) und 0,761 (Validierungskohorte); das Mortalitätsmodell C-Index von 0,721 bzw. 0,713. Neutrophilenzahl ≤0,5 × 10⁹/L erhielt höchste Punkt-Allokation. Polymikrobielle Infektionen zeigten höchste Gewichtung im Mortalitätsmodell. Beide Modelle zeigten akzeptable Kalibrierung.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ähnliche Versorgungsstrukturen in Universitätskliniken; externe Validierung erforderlich</w:t>
      </w:r>
    </w:p>
    <w:p>
      <w:r>
        <w:rPr>
          <w:color w:val="5A7D3A"/>
          <w:sz w:val="18"/>
        </w:rPr>
        <w:t>https://pubmed.ncbi.nlm.nih.gov/42723754/</w:t>
      </w:r>
    </w:p>
    <w:p>
      <w:pPr>
        <w:pStyle w:val="Heading2"/>
      </w:pPr>
      <w:r>
        <w:t>Risikoadjustierung bei Medicare-Advantage mit Encounter-Daten: HCC-Modell-Rekalibrierung</w:t>
      </w:r>
    </w:p>
    <w:p>
      <w:r>
        <w:rPr>
          <w:i/>
          <w:color w:val="666666"/>
          <w:sz w:val="18"/>
        </w:rPr>
        <w:t>Carlin CS et al.  ·  Health Serv Res  ·  Okt. 2026  ·  PMID 42720268</w:t>
      </w:r>
    </w:p>
    <w:p>
      <w:r>
        <w:t>Vergleichende Analyse US-amerikanischer Claims: Replizierung des CMS Hierarchical Condition Category (HCC) Risikomodells mit Traditional Medicare (TM) und Medicare Advantage (MA) Daten 2016–2022; Test der Auswirkungen auf Zahlungsanpassungen.</w:t>
      </w:r>
    </w:p>
    <w:p>
      <w:r>
        <w:rPr>
          <w:b/>
        </w:rPr>
        <w:t xml:space="preserve">Ergebnis: </w:t>
      </w:r>
      <w:r>
        <w:t>MA-basierte HCC-Scores waren 8,9 % niedriger als TM-basierte (p &lt; 0,001). TM-Daten aus 2016–2022 führten zu 1,7 % niedrigeren durchschnittlichen Scores vs. CMS-Standard (2018–2019). Koeffizient-Trends bei steigenden Diagnose-Prävalenzen waren verdünnt. Unterschiede zwischen MA und TM variierten über die Score-Verteilung. Rassische/ethnische oder ländliche Unterschiede in Enrollmentinzentiven entstanden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nicht übertragbar; Finanzierungslogik grundlegend anders</w:t>
      </w:r>
    </w:p>
    <w:p>
      <w:r>
        <w:rPr>
          <w:color w:val="5A7D3A"/>
          <w:sz w:val="18"/>
        </w:rPr>
        <w:t>https://pubmed.ncbi.nlm.nih.gov/42720268/</w:t>
      </w:r>
    </w:p>
    <w:p>
      <w:pPr>
        <w:pStyle w:val="Heading2"/>
      </w:pPr>
      <w:r>
        <w:t>Dynamische Probiotika-Strategien für Nekrotisierende Enterokolitis in Frühgeborenen: Studienprotokoll</w:t>
      </w:r>
    </w:p>
    <w:p>
      <w:r>
        <w:rPr>
          <w:i/>
          <w:color w:val="666666"/>
          <w:sz w:val="18"/>
        </w:rPr>
        <w:t>Chehrazi M et al.  ·  BMJ Paediatr Open  ·  19.08.2026  ·  PMID 42618333</w:t>
      </w:r>
    </w:p>
    <w:p>
      <w:r>
        <w:t>Studienprotokoll für Target-Trial-Emulation mit Routinedaten der UK National Neonatal Research Database: Kausaleffekte von vier Probiotika-Entscheidungsdimensionen (Zeitpunkt, Stamm, Substrat, Antibiotikamanagement) bei Frühgeborenen ≤31+6 Wochen.</w:t>
      </w:r>
    </w:p>
    <w:p>
      <w:r>
        <w:rPr>
          <w:b/>
        </w:rPr>
        <w:t xml:space="preserve">Ergebnis: </w:t>
      </w:r>
      <w:r>
        <w:t>Protokoll beschreibt strukturiertes Kausalitätsgerüst für vier Probiotika-Dimensionen und explizite Zeit-Varianz-Berücksichtigung. Primäre Endpunkte: chirurgische Nekrotisierende Enterokolitis, Spätinfektionen und Sterblichkeit. Parametrische g-Formeln werden zur Confounder-Kontrolle verwendet; Ergebnisse sollen Designentwicklung randomisierter Versuche informieren.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UK-Datenbank, vergleichbar mit deutschen Neonatologiedatensammlungen</w:t>
      </w:r>
    </w:p>
    <w:p>
      <w:r>
        <w:rPr>
          <w:color w:val="5A7D3A"/>
          <w:sz w:val="18"/>
        </w:rPr>
        <w:t>https://pubmed.ncbi.nlm.nih.gov/42618333/</w:t>
      </w:r>
    </w:p>
    <w:p>
      <w:pPr>
        <w:pStyle w:val="Heading2"/>
      </w:pPr>
      <w:r>
        <w:t>Phosphatidylcholin-Störungen bei kritischer Krankheit und Sepsis deuten auf biologische Besonderheit hin</w:t>
      </w:r>
    </w:p>
    <w:p>
      <w:r>
        <w:rPr>
          <w:i/>
          <w:color w:val="666666"/>
          <w:sz w:val="18"/>
        </w:rPr>
        <w:t>Mester P et al.  ·  Int J Mol Sci  ·  30.07.2026  ·  PMID 42589512</w:t>
      </w:r>
    </w:p>
    <w:p>
      <w:r>
        <w:t>Querschnittstudie mit 160 Intensivpatienten: 21 Plasma-Phosphatidylcholin-Spezies wurden gemessen, davon 15 bei SIRS/Sepsis ohne Zirrhose reduziert, nur PC 32:0 konsistent erhöht.</w:t>
      </w:r>
    </w:p>
    <w:p>
      <w:r>
        <w:rPr>
          <w:b/>
        </w:rPr>
        <w:t xml:space="preserve">Ergebnis: </w:t>
      </w:r>
      <w:r>
        <w:t>Bei SIRS/Sepsis ohne Leberzirrhose zeigten sich 15 PC-Spezies deutlich vermindert (p &lt; 0,05), während PC 32:0 erhöht war. Das Muster persistierte bei kombinierter Leberzirrhose. Keine signifikanten Unterschiede zwischen Überlebenden und Verstorbenen. PC 32:0-Erhöhung war transversgeschnitten konsistent und könnte eigene biologische Rolle spielen.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diagnostische Markerbewertung ohne operative Folgerung; Datengrundlage unklar</w:t>
      </w:r>
    </w:p>
    <w:p>
      <w:r>
        <w:rPr>
          <w:color w:val="5A7D3A"/>
          <w:sz w:val="18"/>
        </w:rPr>
        <w:t>https://pubmed.ncbi.nlm.nih.gov/42589512/</w:t>
      </w:r>
    </w:p>
    <w:p>
      <w:pPr>
        <w:pStyle w:val="Heading2"/>
      </w:pPr>
      <w:r>
        <w:t>Natürliche Belüftung in Isoliermodulen reduziert Infektionsrisiko für Personal bei 160 L/s Luftwechsel</w:t>
      </w:r>
    </w:p>
    <w:p>
      <w:r>
        <w:rPr>
          <w:i/>
          <w:color w:val="666666"/>
          <w:sz w:val="18"/>
        </w:rPr>
        <w:t>Fontana L et al.  ·  Infect Control Hosp Epidemiol  ·  16.07.2026  ·  PMID 42460458</w:t>
      </w:r>
    </w:p>
    <w:p>
      <w:r>
        <w:t>Experimentelle CFD-Validierung und Simulation für tragbare Infektionsbehandlungsmodule (IDTM): Windgestützte natürliche Belüftung unter Variation von Windgeschwindigkeit (1–4 m/s) und Konfiguration; Infektionsrisiko mittels Wells-Riley-Modell für sieben Atemwegskeime quantifiziert.</w:t>
      </w:r>
    </w:p>
    <w:p>
      <w:r>
        <w:rPr>
          <w:b/>
        </w:rPr>
        <w:t xml:space="preserve">Ergebnis: </w:t>
      </w:r>
      <w:r>
        <w:t>Luftstrom variierte von 7 L/s (optimales Zugriffsmodul mit Windschutz + Moskitonetz bei 1 m/s) bis &gt;3100 L/s (ohne Netze bei 4 m/s). Bei 160 L/s Luftwechsel reduzierte sich Kurzzeit-Infektionsrisiko für Fachpersonal auf ≤1 % für alle Keime, Langzeit-Koexposition bei hohem Emissions-Erreger blieb jedoch risikobehaftet. Entfernung der Fenster-Netze war Wirksamste Massnahme; Hybrid-Belüftung nötig bei niedriger Windgeschwindigkeit.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Schweiz/Österreich, modulare Isolierinfrastruktur; Ergebnis ist auf Notfallkapazität übertragbar</w:t>
      </w:r>
    </w:p>
    <w:p>
      <w:r>
        <w:rPr>
          <w:color w:val="5A7D3A"/>
          <w:sz w:val="18"/>
        </w:rPr>
        <w:t>https://pubmed.ncbi.nlm.nih.gov/42460458/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