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21.09.2026  |  5 Studien  |  safety.m-vf.de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Ärzte wünschen sich bessere REMS-Kommunikation und EMR-Integration</w:t>
      </w:r>
    </w:p>
    <w:p>
      <w:r>
        <w:rPr>
          <w:i/>
          <w:color w:val="666666"/>
          <w:sz w:val="18"/>
        </w:rPr>
        <w:t>Zakoul H et al.  ·  Pharmacoepidemiol Drug Saf  ·  Okt. 2026  ·  PMID 42764159</w:t>
      </w:r>
    </w:p>
    <w:p>
      <w:r>
        <w:t>Qualitative Studie mit 50 Ärzten, die Risk Evaluation and Mitigation Strategy (REMS)-Programme für 7 Hochrisikomedikamente anwendeten: semi-strukturierte Interviews zu Verständnis, Nutzen und Kommunikationspräferenzen.</w:t>
      </w:r>
    </w:p>
    <w:p>
      <w:r>
        <w:rPr>
          <w:b/>
        </w:rPr>
        <w:t xml:space="preserve">Ergebnis: </w:t>
      </w:r>
      <w:r>
        <w:t>Ärzte verstanden REMS-Risiken, wünschten sich aber Informationen zu nicht abgedeckten Nebenwirkungen. Manche berichteten Lücken in Enrollmentformularen; viele wünschten EMR-Integration. Bevorzugte Lernform: kurze elektronische Materialien (E-Mails, Videos) statt Papier, mit Benefit-Risk-Zusammenfassungen und Links zu Studien. Materialien sollten zeitnah aktualisiert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Melde- und Haftungsrecht unterscheiden sich; Sicherheitsbefund zum Informationsbedarf übertragbar</w:t>
      </w:r>
    </w:p>
    <w:p>
      <w:r>
        <w:rPr>
          <w:color w:val="5A7D3A"/>
          <w:sz w:val="18"/>
        </w:rPr>
        <w:t>https://pubmed.ncbi.nlm.nih.gov/42764159/</w:t>
      </w:r>
    </w:p>
    <w:p>
      <w:pPr>
        <w:pStyle w:val="Heading2"/>
      </w:pPr>
      <w:r>
        <w:t>Lokale Hautdesinfektion vor Hüftfrakturchirurgie senkte Wundinfektionen nicht</w:t>
      </w:r>
    </w:p>
    <w:p>
      <w:r>
        <w:rPr>
          <w:i/>
          <w:color w:val="666666"/>
          <w:sz w:val="18"/>
        </w:rPr>
        <w:t>Sterner EM et al.  ·  Int Wound J  ·  Sept. 2026  ·  PMID 42764157</w:t>
      </w:r>
    </w:p>
    <w:p>
      <w:r>
        <w:t>Vergleich von Ganzkörper- vs. lokaler Hautdesinfektion mit Chlorhexidinglucconat vor Hüftfrakturop: 844 Patienten, 90 Tage Nachverfolgung.</w:t>
      </w:r>
    </w:p>
    <w:p>
      <w:r>
        <w:rPr>
          <w:b/>
        </w:rPr>
        <w:t xml:space="preserve">Ergebnis: </w:t>
      </w:r>
      <w:r>
        <w:t>Wundinfektionsrate 1,7%, ohne signifikanten Unterschied zwischen Ganzkörper (1,9%) und lokalen Wipes (1,0%, p&gt;0,05). Chronische Nierenerkrankung war signifikant mit lokalen Infektionen assoziiert (p=0,005). Lokale Hautdesinfektion zeigte vergleichbare Effektivität wie Ganzkörperbehandlung.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Operationsstandards und Infektionsprävention</w:t>
      </w:r>
    </w:p>
    <w:p>
      <w:r>
        <w:rPr>
          <w:color w:val="5A7D3A"/>
          <w:sz w:val="18"/>
        </w:rPr>
        <w:t>https://pubmed.ncbi.nlm.nih.gov/42764157/</w:t>
      </w:r>
    </w:p>
    <w:p>
      <w:pPr>
        <w:pStyle w:val="Heading2"/>
      </w:pPr>
      <w:r>
        <w:t>Nosokomiale Kinderseppen tödlicher als ambulant erworben: Irland 2020-2025</w:t>
      </w:r>
    </w:p>
    <w:p>
      <w:r>
        <w:rPr>
          <w:i/>
          <w:color w:val="666666"/>
          <w:sz w:val="18"/>
        </w:rPr>
        <w:t>Ravichandran N et al.  ·  Eur J Pediatr  ·  19.09.2026  ·  PMID 42763313</w:t>
      </w:r>
    </w:p>
    <w:p>
      <w:r>
        <w:t>Retrospektive Observationsstudie aller kindlichen Sepsisaufnahmen (n=4442) in Irland mit Vergleich nosokomial vs. ambulant erworben und Analyse von Komorbiditäten.</w:t>
      </w:r>
    </w:p>
    <w:p>
      <w:r>
        <w:rPr>
          <w:b/>
        </w:rPr>
        <w:t xml:space="preserve">Ergebnis: </w:t>
      </w:r>
      <w:r>
        <w:t>30,7% nosokomiale, 69,3% ambulant erworbene Sepsis. Nosokomiale Sepsis mit höherer Intensivbetreuung (84,0% vs. 32,3%, p&lt;0,001) und Mortalität (7,6% vs. 1,8%, p&lt;0,001). Komorbiditäten unabhängig assoziiert mit ICU-Aufnahme (adjustiertes OR 2,66–4,88) und Mortalität (OR 7,18), aber schwere Erkrankung auch ohne dokumentierte Komorbiditäten.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 britische und europäische Kindermedizin</w:t>
      </w:r>
    </w:p>
    <w:p>
      <w:r>
        <w:rPr>
          <w:color w:val="5A7D3A"/>
          <w:sz w:val="18"/>
        </w:rPr>
        <w:t>https://pubmed.ncbi.nlm.nih.gov/42763313/</w:t>
      </w:r>
    </w:p>
    <w:p>
      <w:pPr>
        <w:pStyle w:val="Heading2"/>
      </w:pPr>
      <w:r>
        <w:t>Dendritische Zellen in Sepsis: Depletion, Dysfunktion und fehlende validierte Therapieziele</w:t>
      </w:r>
    </w:p>
    <w:p>
      <w:r>
        <w:rPr>
          <w:i/>
          <w:color w:val="666666"/>
          <w:sz w:val="18"/>
        </w:rPr>
        <w:t>Xu X et al.  ·  Front Immunol  ·  03.09.2026  ·  PMID 42756155</w:t>
      </w:r>
    </w:p>
    <w:p>
      <w:r>
        <w:t>Systematische narrative Übersichtsarbeit zur Rolle dendritischer Zellen in der Sepsisimmunodysregulation, mit kritischer Bewertung von Humanstudien und Tiermodellen zu Mechanismen und therapeutischen Ansätzen.</w:t>
      </w:r>
    </w:p>
    <w:p>
      <w:r>
        <w:rPr>
          <w:b/>
        </w:rPr>
        <w:t xml:space="preserve">Ergebnis: </w:t>
      </w:r>
      <w:r>
        <w:t>Humane Blutdaten zeigen verringerte Anzahl dendritischer Zellen, veränderten Phänotyp und beeinträchtigte Reaktivität. Tierexperimente demonstrieren Depletionen in Milz, Knochemark und Geweben. Vier mögliche Beiträge: Depletion, Dysfunktion, Umverteilung, beeinträchtigte Regeneration. Keine validierten dendritischen-Zellen-Endotypen, Triggerpunkte, Biomarker oder Therapien. Blutbefunde nicht äquivalent zu Tierverstümmellungen. MregDC-Programm: explorativ ohne validiertes menschliches Äquivalent.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Literatur; konzeptionelle Übersicht ohne operative Messung</w:t>
      </w:r>
    </w:p>
    <w:p>
      <w:r>
        <w:rPr>
          <w:color w:val="5A7D3A"/>
          <w:sz w:val="18"/>
        </w:rPr>
        <w:t>https://pubmed.ncbi.nlm.nih.gov/42756155/</w:t>
      </w:r>
    </w:p>
    <w:p>
      <w:pPr>
        <w:pStyle w:val="Heading2"/>
      </w:pPr>
      <w:r>
        <w:t>Sepsisinduzierte Immunsuppression: Mechanismen und offene Fragen zur Therapie</w:t>
      </w:r>
    </w:p>
    <w:p>
      <w:r>
        <w:rPr>
          <w:i/>
          <w:color w:val="666666"/>
          <w:sz w:val="18"/>
        </w:rPr>
        <w:t>Couwenbergh T et al.  ·  Crit Care Clin  ·  17.06.2026  ·  PMID 42686302</w:t>
      </w:r>
    </w:p>
    <w:p>
      <w:r>
        <w:t>Narrative Übersichtsarbeit zur pathophysiologischen Rolle der Immunsuppression in der Sepsis und zur bisherigen Evidenz für immunmodulierende Therapien (Zytokine, Checkpoint-Inhibitoren, Stammzellen).</w:t>
      </w:r>
    </w:p>
    <w:p>
      <w:r>
        <w:rPr>
          <w:b/>
        </w:rPr>
        <w:t xml:space="preserve">Ergebnis: </w:t>
      </w:r>
      <w:r>
        <w:t>Hauptmechanismen: Funktionsumprograammierung von Myeloidzellen, Lymphozytenverlust, besonders CD4+ und CD8+ T-Zellen. Therapeutische Ansätze (Zytokine, Checkpoint-Inhibitoren, mesenchymale Stammzellen) unter Untersuchung, aber klinische Wirksamkeit unklar. Immunsuppression trägt zu Mortalität, Sekundärinfektionen und Langzeitkomplikationen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europäische Intensivmedizin; konzeptionelle Übersicht ohne Messung einer Intervention</w:t>
      </w:r>
    </w:p>
    <w:p>
      <w:r>
        <w:rPr>
          <w:color w:val="5A7D3A"/>
          <w:sz w:val="18"/>
        </w:rPr>
        <w:t>https://pubmed.ncbi.nlm.nih.gov/42686302/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