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07.09.2026  |  6 Studien  |  safety.m-vf.de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Antibiotic Stewardship in Lombardy: Access-Watch-Reserve Quoten bleiben unter WHO-Ziel</w:t>
      </w:r>
    </w:p>
    <w:p>
      <w:r>
        <w:rPr>
          <w:i/>
          <w:color w:val="666666"/>
          <w:sz w:val="18"/>
        </w:rPr>
        <w:t>Augello M et al.  ·  J Antimicrob Chemother  ·  01.09.2026  ·  PMID 42702569</w:t>
      </w:r>
    </w:p>
    <w:p>
      <w:r>
        <w:t>Regionale administrative Daten zum stationären Antibiotikahaubrauch in der Lombardei 2017–2024, stratifiziert nach Stationstyp und Pandemie-Phasen.</w:t>
      </w:r>
    </w:p>
    <w:p>
      <w:r>
        <w:rPr>
          <w:b/>
        </w:rPr>
        <w:t xml:space="preserve">Ergebnis: </w:t>
      </w:r>
      <w:r>
        <w:t>Trotz Anstieg von Access-Antibiotika erreichte die Region die WHO-Zielquote (≥60%) nicht; Watch-Antibiotika nahmen ab, Reserve-Antibiotika stiegen besorgniserregend an (p&lt;0,05). Systemische Lücke in der Antibiotikaauswahl als Versorgungsproblem.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 EU-Dokumentationspflichten, systematisch untersuchte Fehlerquelle</w:t>
      </w:r>
    </w:p>
    <w:p>
      <w:r>
        <w:rPr>
          <w:color w:val="5A7D3A"/>
          <w:sz w:val="18"/>
        </w:rPr>
        <w:t>https://pubmed.ncbi.nlm.nih.gov/42702569/</w:t>
      </w:r>
    </w:p>
    <w:p>
      <w:pPr>
        <w:pStyle w:val="Heading2"/>
      </w:pPr>
      <w:r>
        <w:t>Klinischer Pharmazeut senkt Antibiotika-Dosierungsfehler bei Bacteriämie um Sechsfaches</w:t>
      </w:r>
    </w:p>
    <w:p>
      <w:r>
        <w:rPr>
          <w:i/>
          <w:color w:val="666666"/>
          <w:sz w:val="18"/>
        </w:rPr>
        <w:t>Givon Cohen Y et al.  ·  Isr Med Assoc J  ·  Sept. 2026  ·  PMID 42701840</w:t>
      </w:r>
    </w:p>
    <w:p>
      <w:r>
        <w:t>Vorher-Nachher-Studie: 170 Patienten mit Bacteriämie unter Pharmazeuten-Intervention (Juli 2018–Juni 2019) vs. 173 Kontrollen; Outcome: Angemessenheit von Antibiotikaauswahl und Dosierung.</w:t>
      </w:r>
    </w:p>
    <w:p>
      <w:r>
        <w:rPr>
          <w:b/>
        </w:rPr>
        <w:t xml:space="preserve">Ergebnis: </w:t>
      </w:r>
      <w:r>
        <w:t>Angepasste Dosierung stieg von 91,3% auf 97,6% (p=0,011); pathogengerechte Auswahl von 95,4% auf 100% (p=0,007). Odds Ratio für angemessene Behandlung 5,00 (95%-KI 1,64–15,25). 7-Tage-Rezidiv sank von 8,7% auf 2,4% (p=0,010).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Israel, sozialversichertes Gesundheitssystem, Antibiotic-Stewardship-Modell funktioniert</w:t>
      </w:r>
    </w:p>
    <w:p>
      <w:r>
        <w:rPr>
          <w:color w:val="5A7D3A"/>
          <w:sz w:val="18"/>
        </w:rPr>
        <w:t>https://pubmed.ncbi.nlm.nih.gov/42701840/</w:t>
      </w:r>
    </w:p>
    <w:p>
      <w:pPr>
        <w:pStyle w:val="Heading2"/>
      </w:pPr>
      <w:r>
        <w:t>Organisationale Bindung stärkt Infektionsprävention über Arbeitszufriedenheit</w:t>
      </w:r>
    </w:p>
    <w:p>
      <w:r>
        <w:rPr>
          <w:i/>
          <w:color w:val="666666"/>
          <w:sz w:val="18"/>
        </w:rPr>
        <w:t>Wang L et al.  ·  Front Public Health  ·  21.08.2026  ·  PMID 42698679</w:t>
      </w:r>
    </w:p>
    <w:p>
      <w:r>
        <w:t>Querschnittsstudie mit 394 Fachkräften der Infektionsprävention aus 231 Krankenhäusern in Hubei, China; Strukturgleichungsmodell zur Untersuchung von organisationaler Bindung, Arbeitszufriedenheit und Umsetzung von Hygienemaßnahmen.</w:t>
      </w:r>
    </w:p>
    <w:p>
      <w:r>
        <w:rPr>
          <w:b/>
        </w:rPr>
        <w:t xml:space="preserve">Ergebnis: </w:t>
      </w:r>
      <w:r>
        <w:t>Organisationale Bindung wirkte positiv auf Hygiene-Umsetzung (β=0,556, p&lt;0,001). Arbeitszufriedenheit mediierte die Assoziation (β=0,193, 95%-KI 0,094–0,295) und erklärte 25,78% der Gesamtwirkung. Strukturelle Faktoren sind modifizierbar.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kulturelles Umfeld unterschiedlich, aber Mechanismus der Mitarbeiterbindung für Prävention übergreifend</w:t>
      </w:r>
    </w:p>
    <w:p>
      <w:r>
        <w:rPr>
          <w:color w:val="5A7D3A"/>
          <w:sz w:val="18"/>
        </w:rPr>
        <w:t>https://pubmed.ncbi.nlm.nih.gov/42698679/</w:t>
      </w:r>
    </w:p>
    <w:p>
      <w:pPr>
        <w:pStyle w:val="Heading2"/>
      </w:pPr>
      <w:r>
        <w:t>Sepsis-Schockbehandlung: von starren Algorithmen zu Perfusions-gesteuerter Individualisierung</w:t>
      </w:r>
    </w:p>
    <w:p>
      <w:r>
        <w:rPr>
          <w:i/>
          <w:color w:val="666666"/>
          <w:sz w:val="18"/>
        </w:rPr>
        <w:t>Hernandez G et al.  ·  Crit Care  ·  21.07.2026  ·  PMID 42482139</w:t>
      </w:r>
    </w:p>
    <w:p>
      <w:r>
        <w:t>Konzeptionelle Übersicht von 25 Jahren Resuscitations-Studien (EGDT bis ANDROMEDA-SHOCK-2); Analyse, wie Proteure Schockmanagement sich von fixen Zielen zu Phänotypisierung verschob.</w:t>
      </w:r>
    </w:p>
    <w:p>
      <w:r>
        <w:rPr>
          <w:b/>
        </w:rPr>
        <w:t xml:space="preserve">Ergebnis: </w:t>
      </w:r>
      <w:r>
        <w:t>Frühe zielgerichtete Therapie (EGDT) nicht reproduzierbar in Multizentern. ANDROMEDA-SHOCK zeigte Vorteil von Kapillarfüllungszeit; ANDROMEDA-SHOCK-2 integrierte Phänotypisierung, reversible Tests und serielle Neubewertung mit potenziellen Verbesserungen.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Autoren, deutsches Zentrum vertreten; sepsis-spezifischer Evidenzsynthese</w:t>
      </w:r>
    </w:p>
    <w:p>
      <w:r>
        <w:rPr>
          <w:color w:val="5A7D3A"/>
          <w:sz w:val="18"/>
        </w:rPr>
        <w:t>https://pubmed.ncbi.nlm.nih.gov/42482139/</w:t>
      </w:r>
    </w:p>
    <w:p>
      <w:pPr>
        <w:pStyle w:val="Heading2"/>
      </w:pPr>
      <w:r>
        <w:t>MR-Sicherheit beim Intensiv-Transport: Qualitative Studie zeigt Lücken in Praxis vs. Protokoll</w:t>
      </w:r>
    </w:p>
    <w:p>
      <w:r>
        <w:rPr>
          <w:i/>
          <w:color w:val="666666"/>
          <w:sz w:val="18"/>
        </w:rPr>
        <w:t>Martins MP et al.  ·  Radiography (Lond)  ·  20.07.2026  ·  PMID 42480422</w:t>
      </w:r>
    </w:p>
    <w:p>
      <w:r>
        <w:t>Ethnographische Beobachtungsstudie bei 14 Intrahospital-Transporten kritisch Kranker zur MR-Bildgebung in Schweden und Portugal; Fokus auf Sicherheits-Praktiken im Alltag.</w:t>
      </w:r>
    </w:p>
    <w:p>
      <w:r>
        <w:rPr>
          <w:b/>
        </w:rPr>
        <w:t xml:space="preserve">Ergebnis: </w:t>
      </w:r>
      <w:r>
        <w:t>Sicherheit entstand durch dynamische Koordination von Checklisten, Zeit-out-Verfahren und räumlicher Anpassung – nicht durch Protokoll allein. Lücken entstanden bei unzureichender Kommunikation und unvollständiger Dokumentation zu Implantaten. Radiographen waren zentrale Koordinatoren.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und Portugal, europäische Klinikpraxis; qualitatives Sicherheitsmodell generalisierbar</w:t>
      </w:r>
    </w:p>
    <w:p>
      <w:r>
        <w:rPr>
          <w:color w:val="5A7D3A"/>
          <w:sz w:val="18"/>
        </w:rPr>
        <w:t>https://pubmed.ncbi.nlm.nih.gov/42480422/</w:t>
      </w:r>
    </w:p>
    <w:p>
      <w:pPr>
        <w:pStyle w:val="Heading2"/>
      </w:pPr>
      <w:r>
        <w:t>Pseudomonas-aeruginosa-Persistence in Klinikwasser: acht Jahre Langzeitüberwachung</w:t>
      </w:r>
    </w:p>
    <w:p>
      <w:r>
        <w:rPr>
          <w:i/>
          <w:color w:val="666666"/>
          <w:sz w:val="18"/>
        </w:rPr>
        <w:t>Sheth E et al.  ·  J Hosp Infect  ·  21.07.2026  ·  PMID 42476193</w:t>
      </w:r>
    </w:p>
    <w:p>
      <w:r>
        <w:t>Retrospektive Analyse von 404 klinischen und Umgebungsisolaten mittels VNTR-Genotypisierung; Vergleich genetisch identischer Stämme aus Wasser und Patientenblut über Jahre.</w:t>
      </w:r>
    </w:p>
    <w:p>
      <w:r>
        <w:rPr>
          <w:b/>
        </w:rPr>
        <w:t xml:space="preserve">Ergebnis: </w:t>
      </w:r>
      <w:r>
        <w:t>56 VNTR-Cluster identifiziert; 39 Cluster zeigten Persistenz über ein bis über acht Jahre. Umgebungsisolate voraus: neun Cluster zeigten Wasser-zu-Patient-Transmission. Ein Cluster (n=20) über acht Jahre mit 17 Umgebungs-, ein invasives und zwei nicht-invasive Isolate.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NHS-Zentrum, Besorgnis um nosokomiale Infektionen ist direkt übertragbar</w:t>
      </w:r>
    </w:p>
    <w:p>
      <w:r>
        <w:rPr>
          <w:color w:val="5A7D3A"/>
          <w:sz w:val="18"/>
        </w:rPr>
        <w:t>https://pubmed.ncbi.nlm.nih.gov/42476193/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2026-09-07T06:00:00Z</dcterms:created>
  <dcterms:modified xsi:type="dcterms:W3CDTF">2026-09-07T06:00:00Z</dcterms:modified>
  <cp:category/>
</cp:coreProperties>
</file>