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21.10.2026  |  6 Studien  |  safety.m-vf.de</w:t>
      </w:r>
    </w:p>
    <w:p>
      <w:pPr>
        <w:pStyle w:val="Heading1"/>
      </w:pPr>
      <w:r>
        <w:t>Aufgenommen am 21.10.2026</w:t>
      </w:r>
    </w:p>
    <w:p>
      <w:pPr>
        <w:pStyle w:val="Heading2"/>
      </w:pPr>
      <w:r>
        <w:t>Antibiotic Stewardship Programme mit Reimbursement: Pilot in Korea stärkt Infrastruktur</w:t>
      </w:r>
    </w:p>
    <w:p>
      <w:r>
        <w:rPr>
          <w:i/>
          <w:color w:val="666666"/>
          <w:sz w:val="18"/>
        </w:rPr>
        <w:t>Lim SM et al.  ·  J Korean Med Sci  ·  19.10.2026  ·  PMID 42901494</w:t>
      </w:r>
    </w:p>
    <w:p>
      <w:r>
        <w:t>Umfrage unter 153 südkoreanischen Krankenhäusern mit ≥300 Betten zur Erfassung von Antibiotic-Stewardship-Infrastruktur nach Einführung eines Pilot-Reimbursement-Systems im November 2024.</w:t>
      </w:r>
    </w:p>
    <w:p>
      <w:r>
        <w:rPr>
          <w:b/>
        </w:rPr>
        <w:t xml:space="preserve">Ergebnis: </w:t>
      </w:r>
      <w:r>
        <w:t>Teilnehmende Krankenhäuser (71 von 153) hatten mehr Infektiologen (2,96 vs. 0,63), bessere finanzielle Unterstützung (46,5% vs. 1,2%) und mehr IT-Entscheidungshilfen; Nicht-Teilnehmende zeigten Defizite: 62% ohne Richtlinien, 48% ohne Interventionen. Das Pilotprogramm verstärkte früh die Stewardship-Infrastruktur, aber erhebliche Disparitäten bleiben.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vergleichbare Versorgungsstruktur und Dokumentationspflichten wie Deutschland.</w:t>
      </w:r>
    </w:p>
    <w:p>
      <w:r>
        <w:rPr>
          <w:color w:val="5A7D3A"/>
          <w:sz w:val="18"/>
        </w:rPr>
        <w:t>https://pubmed.ncbi.nlm.nih.gov/42901494/</w:t>
      </w:r>
    </w:p>
    <w:p>
      <w:pPr>
        <w:pStyle w:val="Heading2"/>
      </w:pPr>
      <w:r>
        <w:t>Intensive Qualitätskampagne reduzierte unnötige Handschuhnutzung um 11,4%</w:t>
      </w:r>
    </w:p>
    <w:p>
      <w:r>
        <w:rPr>
          <w:i/>
          <w:color w:val="666666"/>
          <w:sz w:val="18"/>
        </w:rPr>
        <w:t>Foong LH et al.  ·  West J Emerg Med  ·  24.09.2026  ·  PMID 42900947</w:t>
      </w:r>
    </w:p>
    <w:p>
      <w:r>
        <w:t>Vergleich zweier Krankenhäuser mit unterschiedlich intensiver Kampagne zur Reduktion nicht-steriler Handschuhnutzung und Verbesserung der Haendehygiene-Praxis.</w:t>
      </w:r>
    </w:p>
    <w:p>
      <w:r>
        <w:rPr>
          <w:b/>
        </w:rPr>
        <w:t xml:space="preserve">Ergebnis: </w:t>
      </w:r>
      <w:r>
        <w:t>Hospital A (niedrige Intensität) erreichte 2,6% Gesamtreduktion; Hospital B (hohe Intensität) erzielte 11,4% Reduktion der Gesamthandschuhnutzung (7,8% pro Patient). Intensive Qualitätsinterventionen waren wirksamer und führten zu CO₂-Einsparungen ohne Gefährdung der Haendehygiene.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prinzipienübertragbar auf Hygiene- und Qualitätsziele deutscher Kliniken.</w:t>
      </w:r>
    </w:p>
    <w:p>
      <w:r>
        <w:rPr>
          <w:color w:val="5A7D3A"/>
          <w:sz w:val="18"/>
        </w:rPr>
        <w:t>https://pubmed.ncbi.nlm.nih.gov/42900947/</w:t>
      </w:r>
    </w:p>
    <w:p>
      <w:pPr>
        <w:pStyle w:val="Heading2"/>
      </w:pPr>
      <w:r>
        <w:t>Chirurgische Sicherheits-Checkliste: Compliance 39,7%, Nachverfolgung zeigt Barrieren und Erfolgsfaktoren</w:t>
      </w:r>
    </w:p>
    <w:p>
      <w:r>
        <w:rPr>
          <w:i/>
          <w:color w:val="666666"/>
          <w:sz w:val="18"/>
        </w:rPr>
        <w:t>Aouicha W et al.  ·  J Nurs Manag  ·  2026  ·  PMID 42899451</w:t>
      </w:r>
    </w:p>
    <w:p>
      <w:r>
        <w:t>Gemischte Methoden (Dokumentenanalyse + 13 Interviews mit Pflegekräften) zur Erfassung von Compliance, Barrieren und Erfolgsfaktoren bei der Implementierung der WHO-Surgical-Safety-Checklist in einem tunesischen Universitätskrankenhaus über 3 Monate.</w:t>
      </w:r>
    </w:p>
    <w:p>
      <w:r>
        <w:rPr>
          <w:b/>
        </w:rPr>
        <w:t xml:space="preserve">Ergebnis: </w:t>
      </w:r>
      <w:r>
        <w:t>Gesamtcompliance 39,7%, stieg in Phase 1 auf 60%, fiel in Phase 2 auf 29,4%; Sign-Out-Phase am häufigsten übersprungen; nächtliche Schichten und Notfalleingriffe zeigten niedrigere Compliance (p&lt;0,001); Barrieren: Zeitdruck, mangelnde Haftung; Erfolgsfaktoren: Führungsverpflichtung, Pflegechampions; Nachhaltigkeit erfordert formale Politikintegration und psychologische Sicherheit.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Nordafrika/Mittelmeerregion, Erkenntnisse zu Implementierungsbarrieren übertragbar auf deutsche OP-Kulturen.</w:t>
      </w:r>
    </w:p>
    <w:p>
      <w:r>
        <w:rPr>
          <w:color w:val="5A7D3A"/>
          <w:sz w:val="18"/>
        </w:rPr>
        <w:t>https://pubmed.ncbi.nlm.nih.gov/42899451/</w:t>
      </w:r>
    </w:p>
    <w:p>
      <w:pPr>
        <w:pStyle w:val="Heading2"/>
      </w:pPr>
      <w:r>
        <w:t>Präoperative Hauterkrankung, Lebererkrankung und Hämoglobin-Abfall erhöhen SSI-Risiko nach Knievalgus-Osteotomie</w:t>
      </w:r>
    </w:p>
    <w:p>
      <w:r>
        <w:rPr>
          <w:i/>
          <w:color w:val="666666"/>
          <w:sz w:val="18"/>
        </w:rPr>
        <w:t>Arai Y et al.  ·  BMC Musculoskelet Disord  ·  23.07.2026  ·  PMID 42897581</w:t>
      </w:r>
    </w:p>
    <w:p>
      <w:r>
        <w:t>Multizentrische retrospektive Studie mit 247 Patienten (302 Knie) zur Identifizierung präoperativer Faktoren für chirurgische Wundinfektionen, die Reoperationen erfordern.</w:t>
      </w:r>
    </w:p>
    <w:p>
      <w:r>
        <w:rPr>
          <w:b/>
        </w:rPr>
        <w:t xml:space="preserve">Ergebnis: </w:t>
      </w:r>
      <w:r>
        <w:t>SSI-Rate 4,0% (12/302 Knie); präoperative Hauterkrankung, präoperative Lebererkrankung und postoperativer Hämoglobin-Abfall waren unabhängig assoziiert mit SSI. Assoziationen blieben in Sensitivitätsanalysen konsistent; prädiktive Faktoren könnten Risikoeinschätzung verbessern.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orthopädische Versorgung und SSI-Überwachung.</w:t>
      </w:r>
    </w:p>
    <w:p>
      <w:r>
        <w:rPr>
          <w:color w:val="5A7D3A"/>
          <w:sz w:val="18"/>
        </w:rPr>
        <w:t>https://pubmed.ncbi.nlm.nih.gov/42897581/</w:t>
      </w:r>
    </w:p>
    <w:p>
      <w:pPr>
        <w:pStyle w:val="Heading2"/>
      </w:pPr>
      <w:r>
        <w:t>Modifizierte Kraske-Prozedur für retroraktale Tumoren: 4,3% Infektionsrate</w:t>
      </w:r>
    </w:p>
    <w:p>
      <w:r>
        <w:rPr>
          <w:i/>
          <w:color w:val="666666"/>
          <w:sz w:val="18"/>
        </w:rPr>
        <w:t>Bayraktar A et al.  ·  BMC Surg  ·  23.07.2026  ·  PMID 42897508</w:t>
      </w:r>
    </w:p>
    <w:p>
      <w:r>
        <w:t>Prospektive Fallserie mit 23 Patienten, die sich einer modifizierten Kraske-Prozedur zur Resektion retroraktaler Tumoren mit Fokus auf chirurgische Wundinfektionen (SSI) unterzogen.</w:t>
      </w:r>
    </w:p>
    <w:p>
      <w:r>
        <w:rPr>
          <w:b/>
        </w:rPr>
        <w:t xml:space="preserve">Ergebnis: </w:t>
      </w:r>
      <w:r>
        <w:t>SSI-Rate von nur 4,3% (1 von 23 Patienten), mittlere Operationsdauer 113 Min, Blutverlust 364,5 mL, keine Infektionsrezidive in 12–29 Monaten Nachverfolgung, gute Wundheilung und niedriges Morbidität-Profil.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Deutschland/Österreich/Schweiz, vergleichbare Operationstechniken und SSI-Überwachung.</w:t>
      </w:r>
    </w:p>
    <w:p>
      <w:r>
        <w:rPr>
          <w:color w:val="5A7D3A"/>
          <w:sz w:val="18"/>
        </w:rPr>
        <w:t>https://pubmed.ncbi.nlm.nih.gov/42897508/</w:t>
      </w:r>
    </w:p>
    <w:p>
      <w:pPr>
        <w:pStyle w:val="Heading2"/>
      </w:pPr>
      <w:r>
        <w:t>Carbapenem-Resistenz bei pädiatrischen Acinetobacter-Infektionen erhöht 30-Tage-Sterblichkeit</w:t>
      </w:r>
    </w:p>
    <w:p>
      <w:r>
        <w:rPr>
          <w:i/>
          <w:color w:val="666666"/>
          <w:sz w:val="18"/>
        </w:rPr>
        <w:t>Karauzum SE et al.  ·  Eur J Pediatr  ·  20.10.2026  ·  PMID 42897394</w:t>
      </w:r>
    </w:p>
    <w:p>
      <w:r>
        <w:t>Retrospektive Kohortenstudie mit 128 Episoden pädiatrischer Acinetobacter-Blutstrominfektion über 12 Jahre zur Identifizierung von Risikofaktoren für Carbapenem-Resistenz und Mortalität.</w:t>
      </w:r>
    </w:p>
    <w:p>
      <w:r>
        <w:rPr>
          <w:b/>
        </w:rPr>
        <w:t xml:space="preserve">Ergebnis: </w:t>
      </w:r>
      <w:r>
        <w:t>Carbapenem-Resistenz in 42,2% (54/128 Episoden, alle A. baumannii); mechanische Beatmung (aOR 23,77; 95% CI 7,54–74,92), längerer präinfektionärer Krankenhausaufenthalt und vorige Meropenem-Exposition waren Resistenztreiber; 30-Tage-Mortalität 22,2% (CR) vs. 6,8% (nicht-resistent).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europäisches System, vergleichbare Pädiatrie-Intensivmedizin.</w:t>
      </w:r>
    </w:p>
    <w:p>
      <w:r>
        <w:rPr>
          <w:color w:val="5A7D3A"/>
          <w:sz w:val="18"/>
        </w:rPr>
        <w:t>https://pubmed.ncbi.nlm.nih.gov/42897394/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2026-10-21T06:00:00Z</dcterms:created>
  <dcterms:modified xsi:type="dcterms:W3CDTF">2026-10-21T06:00:00Z</dcterms:modified>
  <cp:category/>
</cp:coreProperties>
</file>