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28.09.2026  |  7 Studien  |  safety.m-vf.de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Unangemessene Empirikatherapie bei Blutvergiftung: Muster und vermeidbare Fehler</w:t>
      </w:r>
    </w:p>
    <w:p>
      <w:r>
        <w:rPr>
          <w:i/>
          <w:color w:val="666666"/>
          <w:sz w:val="18"/>
        </w:rPr>
        <w:t>Komori A et al.  ·  Medicine (Baltimore)  ·  25.09.2026  ·  PMID 42798086</w:t>
      </w:r>
    </w:p>
    <w:p>
      <w:r>
        <w:t>Retrospektive Analyse von Sepsispatienten in der Notaufnahme, die Antibiotika vor Kulturbefund erhielten, aber gegen den später isolierten Erreger unwirksam waren.</w:t>
      </w:r>
    </w:p>
    <w:p>
      <w:r>
        <w:rPr>
          <w:b/>
        </w:rPr>
        <w:t xml:space="preserve">Ergebnis: </w:t>
      </w:r>
      <w:r>
        <w:t>Von 118 Bacterämiepatienten erhielten 11 (9,3%) mikrobiologisch unangemessene Initialtherapie. Hauptursachen: Extended-Spectrum-β-Lactamase-Enterobakterien trotz richtiger Fokusdiagnose (mehrheitlich) oder Fehlidentifikation des Infektionsfokus. Mortalität höher bei falscher Fokusdiagnose.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Japan-Studie, aber Befund zur Source-Kontrol und Stewardship übertragbar auf deutsche Notaufnahmen.</w:t>
      </w:r>
    </w:p>
    <w:p>
      <w:r>
        <w:rPr>
          <w:color w:val="5A7D3A"/>
          <w:sz w:val="18"/>
        </w:rPr>
        <w:t>https://pubmed.ncbi.nlm.nih.gov/42798086/</w:t>
      </w:r>
    </w:p>
    <w:p>
      <w:pPr>
        <w:pStyle w:val="Heading2"/>
      </w:pPr>
      <w:r>
        <w:t>Bakterielle Kontamination von Skalpellen und Instrumenten: Schaden ohne Folgen im Operationssaal</w:t>
      </w:r>
    </w:p>
    <w:p>
      <w:r>
        <w:rPr>
          <w:i/>
          <w:color w:val="666666"/>
          <w:sz w:val="18"/>
        </w:rPr>
        <w:t>Liang GH et al.  ·  Medicine (Baltimore)  ·  25.09.2026  ·  PMID 42798037</w:t>
      </w:r>
    </w:p>
    <w:p>
      <w:r>
        <w:t>Prospektive Studie zur Häufigkeit und Art intraoperativer bakterieller Kontamination bei Gelenkersatzoperationen und deren Bezug zu postoperativen Infektionen.</w:t>
      </w:r>
    </w:p>
    <w:p>
      <w:r>
        <w:rPr>
          <w:b/>
        </w:rPr>
        <w:t xml:space="preserve">Ergebnis: </w:t>
      </w:r>
      <w:r>
        <w:t>13 von 127 Patienten (10,2%) hatten mindestens eine positive Bakterienkultur von OP-Instrumenten (Skalpell Inzision 5,9%, Kontrolle 1,7%). Kein Unterschied in Patientencharakteristika zwischen kontaminiert und nicht-kontaminiert. In 24–38 Monaten Follow-up: null postoperative Infektionen, null periprosthetische Gelenkinfektionen. Kontamination ≠ klinische Infektion.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Standardhygiene vergleichbar mit deutschem System, Surveillance-Meldepflicht.</w:t>
      </w:r>
    </w:p>
    <w:p>
      <w:r>
        <w:rPr>
          <w:color w:val="5A7D3A"/>
          <w:sz w:val="18"/>
        </w:rPr>
        <w:t>https://pubmed.ncbi.nlm.nih.gov/42798037/</w:t>
      </w:r>
    </w:p>
    <w:p>
      <w:pPr>
        <w:pStyle w:val="Heading2"/>
      </w:pPr>
      <w:r>
        <w:t>Ralstonia-Ausbruch auf Neonatologie: Kontaminiertes Wasser als vermeidbarer Schaden</w:t>
      </w:r>
    </w:p>
    <w:p>
      <w:r>
        <w:rPr>
          <w:i/>
          <w:color w:val="666666"/>
          <w:sz w:val="18"/>
        </w:rPr>
        <w:t>Uygun SS et al.  ·  Pathogens  ·  08.09.2026  ·  PMID 42796721</w:t>
      </w:r>
    </w:p>
    <w:p>
      <w:r>
        <w:t>Ausbruchuntersuchung nosokomialer Ralstonia-pickettii-Infektionen bei Neugeborenen, deren Quelle kontaminiertes steriles destilliertes Wasser war.</w:t>
      </w:r>
    </w:p>
    <w:p>
      <w:r>
        <w:rPr>
          <w:b/>
        </w:rPr>
        <w:t xml:space="preserve">Ergebnis: </w:t>
      </w:r>
      <w:r>
        <w:t>9 infizierte Neugeborene über 22 Monate, Mortalität 44,4%, davon 11,1% direkt zurechenbar. Nach Wasserwechsel und Infektionskontrollmaßnahmen keine weiteren Fälle. AP-PCR bestätigte genetische Verwandtschaft klinischer und Umweltproben.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Vergleichbares Hygienemanagementsystem, Infektionsschutzgesetz mit Ausbruchsmeldepflicht.</w:t>
      </w:r>
    </w:p>
    <w:p>
      <w:r>
        <w:rPr>
          <w:color w:val="5A7D3A"/>
          <w:sz w:val="18"/>
        </w:rPr>
        <w:t>https://pubmed.ncbi.nlm.nih.gov/42796721/</w:t>
      </w:r>
    </w:p>
    <w:p>
      <w:pPr>
        <w:pStyle w:val="Heading2"/>
      </w:pPr>
      <w:r>
        <w:t>Sicherheitskultur in der Infektionskontrolle: Editorial ohne Studiendaten</w:t>
      </w:r>
    </w:p>
    <w:p>
      <w:r>
        <w:rPr>
          <w:i/>
          <w:color w:val="666666"/>
          <w:sz w:val="18"/>
        </w:rPr>
        <w:t>Azoicăi D et al.  ·  Medicina (Kaunas)  ·  06.09.2026  ·  PMID 42796314</w:t>
      </w:r>
    </w:p>
    <w:p>
      <w:r>
        <w:t>Redaktioneller Kommentar zur WHO-Warnung vor Eskalation von Infektionsrisiken und Antimikrobielles Stewardship, ohne Studienergebnisse.</w:t>
      </w:r>
    </w:p>
    <w:p>
      <w:r>
        <w:rPr>
          <w:b/>
        </w:rPr>
        <w:t xml:space="preserve">Ergebnis: </w:t>
      </w:r>
      <w:r>
        <w:t>Keine konkreten Ergebnisse, nur Warnung vor neu auftretenden und erneut auftretenden Infektionskrankheiten.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qualifizierend: Expertenpapier ohne benennbare Ergebnisse.</w:t>
      </w:r>
    </w:p>
    <w:p>
      <w:r>
        <w:rPr>
          <w:color w:val="5A7D3A"/>
          <w:sz w:val="18"/>
        </w:rPr>
        <w:t>https://pubmed.ncbi.nlm.nih.gov/42796314/</w:t>
      </w:r>
    </w:p>
    <w:p>
      <w:pPr>
        <w:pStyle w:val="Heading2"/>
      </w:pPr>
      <w:r>
        <w:t>Mundhygiene und Handwaschen bei Adoleszenten: Verhaltensunterschiede nach Geschlecht und Einkommen</w:t>
      </w:r>
    </w:p>
    <w:p>
      <w:r>
        <w:rPr>
          <w:i/>
          <w:color w:val="666666"/>
          <w:sz w:val="18"/>
        </w:rPr>
        <w:t>Huang Z et al.  ·  Front Public Health  ·  10.09.2026  ·  PMID 42787371</w:t>
      </w:r>
    </w:p>
    <w:p>
      <w:r>
        <w:t>Querschnittsstudie aus 72 Ländern mit 244.040 Schülern (Global School-based Student Health Survey 2010–2019): Unterschiede in Zahnpflege und Händewaschen nach Geschlecht, Alter, Region und Einkommensniveau.</w:t>
      </w:r>
    </w:p>
    <w:p>
      <w:r>
        <w:rPr>
          <w:b/>
        </w:rPr>
        <w:t xml:space="preserve">Ergebnis: </w:t>
      </w:r>
      <w:r>
        <w:t>Zähneputzen &lt;1×/Tag: 10,9% (95%-KI 10,0–11,8), ≥2×/Tag: 70,5%. Nie/selten Hände vor Essen waschen: 6,5%, nach Toilette: 5,5%, ohne Seife: 9,0%. Jungen schlechter (z.B. &lt;1×/Tag putzen: 13,1% vs. Mädchen 8,6%). Ostmittelmeerregion höchste Prävalenz unzureichenden Zähnebürstens (30,7%). Einkommungradient für Zähneputzen (arm 12,5% → reich 4,4%), nicht für Händewaschen.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72-Länder-Daten, aber Hygiene-Outcomes nicht auf nosokominale Infektionen, Schaden oder Versorgungsfehler bezogen.</w:t>
      </w:r>
    </w:p>
    <w:p>
      <w:r>
        <w:rPr>
          <w:color w:val="5A7D3A"/>
          <w:sz w:val="18"/>
        </w:rPr>
        <w:t>https://pubmed.ncbi.nlm.nih.gov/42787371/</w:t>
      </w:r>
    </w:p>
    <w:p>
      <w:pPr>
        <w:pStyle w:val="Heading2"/>
      </w:pPr>
      <w:r>
        <w:t>TNF-α-Test für Sepsiserkennung in der Notaufnahme: niedriges Vorhersagevermögen bleibt unsicher</w:t>
      </w:r>
    </w:p>
    <w:p>
      <w:r>
        <w:rPr>
          <w:i/>
          <w:color w:val="666666"/>
          <w:sz w:val="18"/>
        </w:rPr>
        <w:t>Cisteró B et al.  ·  Front Immunol  ·  10.09.2026  ·  PMID 42787037</w:t>
      </w:r>
    </w:p>
    <w:p>
      <w:r>
        <w:t>Prospektive Kohortenstudie: Bluttests auf Lipopolysaccharid-induzierte TNF-α-Freisetzung bei Notaufnahmepatienten mit Verdacht auf Infektion zur frühen Sepsis-Erkennung.</w:t>
      </w:r>
    </w:p>
    <w:p>
      <w:r>
        <w:rPr>
          <w:b/>
        </w:rPr>
        <w:t xml:space="preserve">Ergebnis: </w:t>
      </w:r>
      <w:r>
        <w:t>203 Patienten, 142 mit Sepsis-3 in 24 h diagnostiziert. Negative Tests in 75% häufig. Test-Sensitivität 78,9% (95%-KI 71,4–84,8), Spezifität 39,5% (95%-KI 25,6–55,3) für Sepsis-3. Nach Anpassung für Alter und qSOFA: OR 2,94 (95%-KI 1,28–6,75, p=0,011). Autoren beurteilen Test als ergänzend, nicht eigenständig aussagekräftig.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Spanien: Notaufnahme-Setting vergleichbar, aber externe Validierung ausstehend.</w:t>
      </w:r>
    </w:p>
    <w:p>
      <w:r>
        <w:rPr>
          <w:color w:val="5A7D3A"/>
          <w:sz w:val="18"/>
        </w:rPr>
        <w:t>https://pubmed.ncbi.nlm.nih.gov/42787037/</w:t>
      </w:r>
    </w:p>
    <w:p>
      <w:pPr>
        <w:pStyle w:val="Heading2"/>
      </w:pPr>
      <w:r>
        <w:t>Rotschimmel-Supplements: seltene Nebenwirkungen, aber niedriges Meldesystem</w:t>
      </w:r>
    </w:p>
    <w:p>
      <w:r>
        <w:rPr>
          <w:i/>
          <w:color w:val="666666"/>
          <w:sz w:val="18"/>
        </w:rPr>
        <w:t>Cicero AFG et al.  ·  Nutrients  ·  14.07.2026  ·  PMID 42514371</w:t>
      </w:r>
    </w:p>
    <w:p>
      <w:r>
        <w:t>Strukturiertes europäisches Spontan-Meldesystem für Nebenwirkungen von Nahrungsergänzungsmitteln aus Rotem Schimmel bei leichter bis mäßiger Hypercholesterinämie.</w:t>
      </w:r>
    </w:p>
    <w:p>
      <w:r>
        <w:rPr>
          <w:b/>
        </w:rPr>
        <w:t xml:space="preserve">Ergebnis: </w:t>
      </w:r>
      <w:r>
        <w:t>148 Nebenwirkungsberichte von 12 europäischen Ländern (2022–2024), geschätzte Exposition 608.815 Patientenzeiträume. Gastrointestinale Ereignisse 45,9%, Arthromyalgie 16,9%, Überempfindlichkeit 10,8%. Schwere/ernsthafte Ereignisse 0,7%/1,4%. Geschätztes exposure-adjustiertes Melderisiko: 0,02% für alle, 0,0003% für ernsthafte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Deutschland/DACH: Italienische, europäische Daten aus vergleichbarem Supplement-Regulierungssystem.</w:t>
      </w:r>
    </w:p>
    <w:p>
      <w:r>
        <w:rPr>
          <w:color w:val="5A7D3A"/>
          <w:sz w:val="18"/>
        </w:rPr>
        <w:t>https://pubmed.ncbi.nlm.nih.gov/42514371/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