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09.09.2026  |  6 Studien  |  safety.m-vf.de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85% der Schlafstudien melden Nebenwirkungen inkonsistent: Registry-Publikations-Diskordanz gefährdet Patientensicherheit</w:t>
      </w:r>
    </w:p>
    <w:p>
      <w:r>
        <w:rPr>
          <w:i/>
          <w:color w:val="666666"/>
          <w:sz w:val="18"/>
        </w:rPr>
        <w:t>Lackey M et al.  ·  BMJ Open  ·  08.09.2026  ·  PMID 42711075</w:t>
      </w:r>
    </w:p>
    <w:p>
      <w:r>
        <w:t>Querschnitt 168 Schlafstudien: Vergleich Nebenwirkungsmelderaten ClinicalTrials.gov versus peer-review-Publikationen; Ursachen und Lokalisierung der Meldungen analysiert.</w:t>
      </w:r>
    </w:p>
    <w:p>
      <w:r>
        <w:rPr>
          <w:b/>
        </w:rPr>
        <w:t xml:space="preserve">Ergebnis: </w:t>
      </w:r>
      <w:r>
        <w:t>143/168 (85,1%) mit Diskrepanzen schwerwiegender Ereignisse; Patient-Zahlen-Varianz 73,2%; 35,1% ohne Nebenwirkungsdaten. Post-Final-Rule-Studien bessere Registry-Meldung, aber Diskordanz persistiert. 17% Sterblichkeitsunterschätzung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(Trial-Registry), Publikationsbias; Befund (Reporting-Lücken) auf deutsches Register-Publikations-Gap übertragbar</w:t>
      </w:r>
    </w:p>
    <w:p>
      <w:r>
        <w:rPr>
          <w:color w:val="5A7D3A"/>
          <w:sz w:val="18"/>
        </w:rPr>
        <w:t>https://pubmed.ncbi.nlm.nih.gov/42711075/</w:t>
      </w:r>
    </w:p>
    <w:p>
      <w:pPr>
        <w:pStyle w:val="Heading2"/>
      </w:pPr>
      <w:r>
        <w:t>Capillary refill time crosses diagnostic threshold during acute inflammation: quantitative bedside test unreliable for sepsis alone</w:t>
      </w:r>
    </w:p>
    <w:p>
      <w:r>
        <w:rPr>
          <w:i/>
          <w:color w:val="666666"/>
          <w:sz w:val="18"/>
        </w:rPr>
        <w:t>Gustavsson H et al.  ·  Crit Care  ·  31.08.2026  ·  PMID 42706575</w:t>
      </w:r>
    </w:p>
    <w:p>
      <w:r>
        <w:t>Prospective human endotoxemia model (n=25): quantitative capillary refill time (qCRT) during E. coli LPS-induced systemic inflammation showed biphasic trajectory crossing the clinical 3-second threshold in both directions.</w:t>
      </w:r>
    </w:p>
    <w:p>
      <w:r>
        <w:rPr>
          <w:b/>
        </w:rPr>
        <w:t xml:space="preserve">Ergebnis: </w:t>
      </w:r>
      <w:r>
        <w:t>qCRT prolonged from baseline ~3,5s to 8,31s at 1,5h (14/25 reached 10s ceiling), then shortened to 1,27s at 5h; between-subject variance minor (ICC 0,30); skin temperature explained largest qCRT variance. Findings show single fixed-threshold qCRT unreliable; serial measurement within patient more informative than population threshold.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(Uppsala), physiologische Validierung; Übertragbarkeit auf Sepsisverdacht in Notaufnahmen begrenzt ohne prospektive Patientenstudien</w:t>
      </w:r>
    </w:p>
    <w:p>
      <w:r>
        <w:rPr>
          <w:color w:val="5A7D3A"/>
          <w:sz w:val="18"/>
        </w:rPr>
        <w:t>https://pubmed.ncbi.nlm.nih.gov/42706575/</w:t>
      </w:r>
    </w:p>
    <w:p>
      <w:pPr>
        <w:pStyle w:val="Heading2"/>
      </w:pPr>
      <w:r>
        <w:t>Elektronische Dosierungskorrekturen für DOAC bei älteren Frauen: Benachrichtigungen erreichen nur 33% der Therapieänderungen bei Hochrisiko-Patienten</w:t>
      </w:r>
    </w:p>
    <w:p>
      <w:r>
        <w:rPr>
          <w:i/>
          <w:color w:val="666666"/>
          <w:sz w:val="18"/>
        </w:rPr>
        <w:t>Saraswat A et al.  ·  Res Pract Thromb Haemost  ·  06.08.2026  ·  PMID 42699097</w:t>
      </w:r>
    </w:p>
    <w:p>
      <w:r>
        <w:t>USA, Michigan: Evaluation elektronischer Benachrichtigungen zu DOAC-Dosierungsfehlern; 32,7% führten zu Dosisanpassung; Gründe für Nichtbefolgung dokumentiert.</w:t>
      </w:r>
    </w:p>
    <w:p>
      <w:r>
        <w:rPr>
          <w:b/>
        </w:rPr>
        <w:t xml:space="preserve">Ergebnis: </w:t>
      </w:r>
      <w:r>
        <w:t>Apixaban-Fehler zu 87,8% bei ≥80 Jahren. Dosisreduktion 52% Änderungsquote, Dosiserhöhung nur 16,8% (p&lt;0,001). Originale Verschreiber dokumentierten Ablehnungsgründe in 46,1%, Pharmazeuten in 90,5%. Nierenrückgang, Gewicht, Blutungsrisiko häufigste Ablehnungsgründe.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(Haftungsklima anders), aber Fehlererkennungssystem auf deutsches QM-System übertragbar</w:t>
      </w:r>
    </w:p>
    <w:p>
      <w:r>
        <w:rPr>
          <w:color w:val="5A7D3A"/>
          <w:sz w:val="18"/>
        </w:rPr>
        <w:t>https://pubmed.ncbi.nlm.nih.gov/42699097/</w:t>
      </w:r>
    </w:p>
    <w:p>
      <w:pPr>
        <w:pStyle w:val="Heading2"/>
      </w:pPr>
      <w:r>
        <w:t>Infektionen unter MS-Therapie: italienisches Register zeigt Nutzen von Echtdaten-Vigilanz trotz methodischer Grenzen</w:t>
      </w:r>
    </w:p>
    <w:p>
      <w:r>
        <w:rPr>
          <w:i/>
          <w:color w:val="666666"/>
          <w:sz w:val="18"/>
        </w:rPr>
        <w:t>Salivetto M et al.  ·  Pharmacoepidemiol Drug Saf  ·  Aug. 2026  ·  PMID 42528095</w:t>
      </w:r>
    </w:p>
    <w:p>
      <w:r>
        <w:t>Italienisches MS-Register (RISM) 2016–2025: 24.259 Patienten mit krankheitsmodifizierender Therapie, 4.419 (18,2%) mit Klinischen Ereignissen; Infektionen 29,4%, Malignität 3,7%; prospektive Datenqualitätskontrolle implementiert.</w:t>
      </w:r>
    </w:p>
    <w:p>
      <w:r>
        <w:rPr>
          <w:b/>
        </w:rPr>
        <w:t xml:space="preserve">Ergebnis: </w:t>
      </w:r>
      <w:r>
        <w:t>Bei 24.259 Therapieinitiationen 18,2% mit dokumentiertem Ereignis; Infektionsanteil 29,4% aller Events. Stärken: umfassendes Langzeit-Tracking, Patientenperspektive. Grenzen: methodische Herausforderungen bei Sekundärdaten, Meldepflichten variabel, nationale Transferbarkeit eingeschränkt.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(vergleichbares EU-Melderecht), kohortales Design; Struktur relevant für deutsches Klinik-Pharmakovigilance-Register</w:t>
      </w:r>
    </w:p>
    <w:p>
      <w:r>
        <w:rPr>
          <w:color w:val="5A7D3A"/>
          <w:sz w:val="18"/>
        </w:rPr>
        <w:t>https://pubmed.ncbi.nlm.nih.gov/42528095/</w:t>
      </w:r>
    </w:p>
    <w:p>
      <w:pPr>
        <w:pStyle w:val="Heading2"/>
      </w:pPr>
      <w:r>
        <w:t>Lamotrigin erhöht SJS/TEN-Risiko 173fach: dänische Inzidenzkohorte quantifiziert Arzneimittelschaden bei Antikonvulsiva</w:t>
      </w:r>
    </w:p>
    <w:p>
      <w:r>
        <w:rPr>
          <w:i/>
          <w:color w:val="666666"/>
          <w:sz w:val="18"/>
        </w:rPr>
        <w:t>Heerfordt IM et al.  ·  Neurology  ·  11.08.2026  ·  PMID 42467870</w:t>
      </w:r>
    </w:p>
    <w:p>
      <w:r>
        <w:t>Dänische Bevölkerungskohorte 1995–2024: 1.388.397 Antikonvulsiva-Initiationen, 83 SJS/TEN-Fälle in 90 Tagen; Mortalität 17%, Ereignisse konzentriert auf erste Wochen.</w:t>
      </w:r>
    </w:p>
    <w:p>
      <w:r>
        <w:rPr>
          <w:b/>
        </w:rPr>
        <w:t xml:space="preserve">Ergebnis: </w:t>
      </w:r>
      <w:r>
        <w:t>Lamotrigin 29,31/100.000 (95% KI 21,46–39,09); Carbamazepin 16,66 (8,32–29,80); Phenobarbital 15,84; Oxcarbazepin 11,25; Valproat 7,31/100.000. Gabapentinoide deutlich niedriger (Pregabalin 2,26, Gabapentin 1,24). Hintergrund 0,17/100.000. 7% aller SJS/TEN-Fälle Dänemarks antikonvulsiva-assoziiert.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(Melderegister), Inzidenzkohorte; europäische Baseline für Vergleichbarkeit mit deutschem Arzneimittelrisiko</w:t>
      </w:r>
    </w:p>
    <w:p>
      <w:r>
        <w:rPr>
          <w:color w:val="5A7D3A"/>
          <w:sz w:val="18"/>
        </w:rPr>
        <w:t>https://pubmed.ncbi.nlm.nih.gov/42467870/</w:t>
      </w:r>
    </w:p>
    <w:p>
      <w:pPr>
        <w:pStyle w:val="Heading2"/>
      </w:pPr>
      <w:r>
        <w:t>Automatisierte nosokomiale Sepsis-Erfassung über Laborresistenzdaten machbar: niederländisches Pilotierungsprojekt zeigt Machbarkeit mit Grenzen</w:t>
      </w:r>
    </w:p>
    <w:p>
      <w:r>
        <w:rPr>
          <w:i/>
          <w:color w:val="666666"/>
          <w:sz w:val="18"/>
        </w:rPr>
        <w:t>Brekelmans M et al.  ·  Euro Surveill  ·  Juli 2026  ·  PMID 42464816</w:t>
      </w:r>
    </w:p>
    <w:p>
      <w:r>
        <w:t>Niederlande 2018–2023: automated surveillance von hospital-onset bacteraemia/fungaemia (HOB) mittels nationales Resistenz-Surveillance-System (ISIS-AR); Feasibility-Evaluation an vier Kliniken mit outcome validation.</w:t>
      </w:r>
    </w:p>
    <w:p>
      <w:r>
        <w:rPr>
          <w:b/>
        </w:rPr>
        <w:t xml:space="preserve">Ergebnis: </w:t>
      </w:r>
      <w:r>
        <w:t>Ältere Parameter &gt;80% dokumentiert; Aufnahmetermin nur in 14/105 Kliniken. Outcome-Validierung: sichere HOB-Identifikation bei Nicht-Kommensalen, variable Sensitivität bei Kommensalen (Laborpolitik-abhängig). Interviewpartner sehen Wert auf Hospitalebene und Benchmarking; nationale Trend-Überwachung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(vergleichbares Versicherungs- und Meldewesen), Sekundärdaten-Nutzung; direkter Transfer auf deutsches Surveillancesystem möglich</w:t>
      </w:r>
    </w:p>
    <w:p>
      <w:r>
        <w:rPr>
          <w:color w:val="5A7D3A"/>
          <w:sz w:val="18"/>
        </w:rPr>
        <w:t>https://pubmed.ncbi.nlm.nih.gov/42464816/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