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26.08.2026  |  2 Studien  |  safety.m-vf.de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Verzögerte Antibiotikaverordnung mit Entscheidungshilfe reduzierte unangemessene Anwendung um ein Drittel</w:t>
      </w:r>
    </w:p>
    <w:p>
      <w:r>
        <w:rPr>
          <w:i/>
          <w:color w:val="666666"/>
          <w:sz w:val="18"/>
        </w:rPr>
        <w:t>Sievert EDC et al.  ·  Appl Psychol Health Well Being  ·  Aug. 2026  ·  PMID 42568140</w:t>
      </w:r>
    </w:p>
    <w:p>
      <w:r>
        <w:t>Online-Experiment mit 663 britischen Erwachsenen zur Wirkung von WHO-Entscheidungshilfematerial auf verzögerte Antibiotikaverordnungen bei vermuteten Virusinfektionen unter Verhaltensanreizen.</w:t>
      </w:r>
    </w:p>
    <w:p>
      <w:r>
        <w:rPr>
          <w:b/>
        </w:rPr>
        <w:t xml:space="preserve">Ergebnis: </w:t>
      </w:r>
      <w:r>
        <w:t>Unangemessene Antibiotikaverwendung war in allen Entscheidungsunterstützungs-Bedingungen niedriger als in Kontrolle (p&lt;0,001, ηG²=0,02). Entscheidungskonflikt sank signifikant in Interventions-Armen (p&lt;0,001, ηG²=0,02) durch verbesserte Wertklarheit und wahrgenommene Unterstützung. Kombination aus Entscheidungshilfe, Wertintegration und aktivem Symptommonitoring zeigte beste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mit NHS-Struktur; Antibiotika-Stewardship-Prinzipien in Deutschland etabliert, Übertragbarkeit gut.</w:t>
      </w:r>
    </w:p>
    <w:p>
      <w:r>
        <w:rPr>
          <w:color w:val="5A7D3A"/>
          <w:sz w:val="18"/>
        </w:rPr>
        <w:t>https://pubmed.ncbi.nlm.nih.gov/42568140/</w:t>
      </w:r>
    </w:p>
    <w:p>
      <w:pPr>
        <w:pStyle w:val="Heading2"/>
      </w:pPr>
      <w:r>
        <w:t>Strukturiertes Infektionsrisiko-Assessment identifiziert 65 % der Patienten als gefährdet</w:t>
      </w:r>
    </w:p>
    <w:p>
      <w:r>
        <w:rPr>
          <w:i/>
          <w:color w:val="666666"/>
          <w:sz w:val="18"/>
        </w:rPr>
        <w:t>Luís TB et al.  ·  Front Public Health  ·  23.07.2026  ·  PMID 42564447</w:t>
      </w:r>
    </w:p>
    <w:p>
      <w:r>
        <w:t>Multizentrisches Querschnitts-Observatorium mit 1.092 hospitalisierten Erwachsenen in Portugal zur Prävalenz und Risikofaktoren für Infektionen mittels RAC-Skala (Risk Assessment for Infection).</w:t>
      </w:r>
    </w:p>
    <w:p>
      <w:r>
        <w:rPr>
          <w:b/>
        </w:rPr>
        <w:t xml:space="preserve">Ergebnis: </w:t>
      </w:r>
      <w:r>
        <w:t>Moderate (53,6 %) oder hohe (11,4 %) Infektionsrisiken nach Perzentil-Stratifikation. Höhere Risiken assoziiert mit Alter, Multimorbidität, beeinträchtigter Gewebsintegrität, reduzierter Mobilität, Vorspitalisierung, Verlegung, Liegedauer, invasiven Prozeduren. ROC-Analyse mit guter Diskriminierung; Medizin-Stationen hatten signifikant höhere Risikoscores als Chirurgie.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Portugal/SÜDEUROPA mit ähnlichen Dokumentationssystemen; RAC-Skala als strukturiertes Instrument universell anwendbar.</w:t>
      </w:r>
    </w:p>
    <w:p>
      <w:r>
        <w:rPr>
          <w:color w:val="5A7D3A"/>
          <w:sz w:val="18"/>
        </w:rPr>
        <w:t>https://pubmed.ncbi.nlm.nih.gov/42564447/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