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Patientensicherheit</w:t>
      </w:r>
    </w:p>
    <w:p>
      <w:r>
        <w:rPr>
          <w:i/>
          <w:color w:val="666666"/>
          <w:sz w:val="18"/>
        </w:rPr>
        <w:t>Stand: 10.10.2026  |  6 Studien  |  safety.m-vf.de</w:t>
      </w:r>
    </w:p>
    <w:p>
      <w:pPr>
        <w:pStyle w:val="Heading1"/>
      </w:pPr>
      <w:r>
        <w:t>Aufgenommen am 10.10.2026</w:t>
      </w:r>
    </w:p>
    <w:p>
      <w:pPr>
        <w:pStyle w:val="Heading2"/>
      </w:pPr>
      <w:r>
        <w:t>Digitale Bestellsysteme senken Dokumentationsfehler bei Notfall-zu-ITS-Übergängen um 46 %</w:t>
      </w:r>
    </w:p>
    <w:p>
      <w:r>
        <w:rPr>
          <w:i/>
          <w:color w:val="666666"/>
          <w:sz w:val="18"/>
        </w:rPr>
        <w:t>Chien DK et al.  ·  JMIR Form Res  ·  09.10.2026  ·  PMID 42854259</w:t>
      </w:r>
    </w:p>
    <w:p>
      <w:r>
        <w:t>Retrospektive vergleichende Evaluierung eines aktualisierten digitalen Bestellsystems für Notfall-zu-Intensivmedizin-Aufnahmen (2023 vs. 2024) an einem Tertium-Zentrum in Taiwan.</w:t>
      </w:r>
    </w:p>
    <w:p>
      <w:r>
        <w:rPr>
          <w:b/>
        </w:rPr>
        <w:t xml:space="preserve">Ergebnis: </w:t>
      </w:r>
      <w:r>
        <w:t>Aktualisiertes System assoziiert mit höherer Bestellgültigkeit (54,1 % → 75,4 %; RR 1,39, KI 1,25–1,54, p &lt; 0,001), niedrigerer Fehlerquote (45,9 % → 24,6 %; RR 0,54, KI 0,44–0,66, p &lt; 0,001); doppelte und verlorene Aufträge sanken; ITS-Reservierungsalignment verbessert sich (Verhältnis 0,68 → 0,78, p = 0,03). Strukturierte, zeitstempel-gesteuerte Infrastruktur unterstützt zuverlässigere Hochrisiko-Workflows.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Taiwan - Elektronische Order-Standardisierung übertragbar auf deutsches Kliniksetting mit vergleichbaren Workflows</w:t>
      </w:r>
    </w:p>
    <w:p>
      <w:r>
        <w:rPr>
          <w:color w:val="5A7D3A"/>
          <w:sz w:val="18"/>
        </w:rPr>
        <w:t>https://pubmed.ncbi.nlm.nih.gov/42854259/</w:t>
      </w:r>
    </w:p>
    <w:p>
      <w:pPr>
        <w:pStyle w:val="Heading2"/>
      </w:pPr>
      <w:r>
        <w:t>Nosokomialer Ausbruch durch kontaminierte Infusionslösungen: 16 Fälle in sieben deutschen Kliniken</w:t>
      </w:r>
    </w:p>
    <w:p>
      <w:r>
        <w:rPr>
          <w:i/>
          <w:color w:val="666666"/>
          <w:sz w:val="18"/>
        </w:rPr>
        <w:t>Burdi S et al.  ·  Euro Surveill  ·  Okt. 2026  ·  PMID 42852523</w:t>
      </w:r>
    </w:p>
    <w:p>
      <w:r>
        <w:t>Untersuchung eines Ausbruchs von Ralstonia mannitolilytica-Bacteriämien in deutschen Krankenhäusern von März bis September 2026, der auf kontaminierte vorgefüllte Kochsalzspritzen zurückgeführt wurde.</w:t>
      </w:r>
    </w:p>
    <w:p>
      <w:r>
        <w:rPr>
          <w:b/>
        </w:rPr>
        <w:t xml:space="preserve">Ergebnis: </w:t>
      </w:r>
      <w:r>
        <w:t>16 Fälle mit ≤6 Allel-Unterschieden in sieben Kliniken identifiziert; Produktions- und Verteilungsfehler eines Herstellers als Quelle bestätigt; Quarantäne und Nutzungsstopp des Produkts eingeleitet. Die Rückverfolgung zeigt, dass solche nosokomialen Ausbrüche auch durch systematische Beschaffungsfehler entstehen.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Deutsche Klinikdaten, vergleichbare Hygienestandards und Meldepflichten nach IfSG</w:t>
      </w:r>
    </w:p>
    <w:p>
      <w:r>
        <w:rPr>
          <w:color w:val="5A7D3A"/>
          <w:sz w:val="18"/>
        </w:rPr>
        <w:t>https://pubmed.ncbi.nlm.nih.gov/42852523/</w:t>
      </w:r>
    </w:p>
    <w:p>
      <w:pPr>
        <w:pStyle w:val="Heading2"/>
      </w:pPr>
      <w:r>
        <w:t>NHS-Qualitätsstrategie vernachlässigt grundlegende Patientensicherheitsmaßnahmen</w:t>
      </w:r>
    </w:p>
    <w:p>
      <w:r>
        <w:rPr>
          <w:i/>
          <w:color w:val="666666"/>
          <w:sz w:val="18"/>
        </w:rPr>
        <w:t>Tingle J  ·  Br J Nurs  ·  08.10.2026  ·  PMID 42848698</w:t>
      </w:r>
    </w:p>
    <w:p>
      <w:r>
        <w:t>Analyse durch akademischen Rechtsexperten der aktuellen NHS-Qualitätsstrategie bezüglich Patientensicherheitspriorisierung und regulatorischer Überwachung.</w:t>
      </w:r>
    </w:p>
    <w:p>
      <w:r>
        <w:rPr>
          <w:b/>
        </w:rPr>
        <w:t xml:space="preserve">Ergebnis: </w:t>
      </w:r>
      <w:r>
        <w:t>Expertenmeinung identifiziert Lücken in der NHS-Strategie: Grundlegende Sicherheitsmaßnahmen werden übersehen; regulatorische Aufsicht und Dokumentation von Sicherheitsversprechen unzureichend. Kommentar hebt Misalignment zwischen strategischem Anspruch und operativer Realität hervor.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Großbritannien (NHS) - Melde- und Haftungssystem unterscheidet sich von Deutschland durch andere Governance-Strukturen</w:t>
      </w:r>
    </w:p>
    <w:p>
      <w:r>
        <w:rPr>
          <w:color w:val="5A7D3A"/>
          <w:sz w:val="18"/>
        </w:rPr>
        <w:t>https://pubmed.ncbi.nlm.nih.gov/42848698/</w:t>
      </w:r>
    </w:p>
    <w:p>
      <w:pPr>
        <w:pStyle w:val="Heading2"/>
      </w:pPr>
      <w:r>
        <w:t>Haftungsrisiko und Spezialisierungswahl: Ärzte meiden "High-Risk"-Fachrichtungen</w:t>
      </w:r>
    </w:p>
    <w:p>
      <w:r>
        <w:rPr>
          <w:i/>
          <w:color w:val="666666"/>
          <w:sz w:val="18"/>
        </w:rPr>
        <w:t>Leśniak MW et al.  ·  Psychiatr Pol  ·  30.08.2026  ·  PMID 42848476</w:t>
      </w:r>
    </w:p>
    <w:p>
      <w:r>
        <w:t>Befragung polnischer Medizinstudierender (4.–6. Studienjahr) zur Wahrnehmung von Haftungsrisiken einzelner Fachrichtungen und deren Einfluss auf die Spezialisierungswahl.</w:t>
      </w:r>
    </w:p>
    <w:p>
      <w:r>
        <w:rPr>
          <w:b/>
        </w:rPr>
        <w:t xml:space="preserve">Ergebnis: </w:t>
      </w:r>
      <w:r>
        <w:t>Über 50 % schätzten ihr Wissen über medizinische Fehler und Stressmanagement als unzureichend ein; höhere Studienjahre und Frauen vermeiden chirurgische "High-Risk"-Fachrichtungen signifikant häufiger; ältere Studierende bewerteten ihr Wissen zu Medizinrecht und Stressmanagement besser. Studierenden betonen Bedarf für erweiterte Ausbildung in Fehlermanagement.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Polen - Haftungssystem ähnlich Deutschland ohne kausale Entschädigung, aber Datenlage begrenzt</w:t>
      </w:r>
    </w:p>
    <w:p>
      <w:r>
        <w:rPr>
          <w:color w:val="5A7D3A"/>
          <w:sz w:val="18"/>
        </w:rPr>
        <w:t>https://pubmed.ncbi.nlm.nih.gov/42848476/</w:t>
      </w:r>
    </w:p>
    <w:p>
      <w:pPr>
        <w:pStyle w:val="Heading2"/>
      </w:pPr>
      <w:r>
        <w:t>Digitale Fragmentierung behindert Antibiotic Stewardship und Infektionserkennung im UK-NHS</w:t>
      </w:r>
    </w:p>
    <w:p>
      <w:r>
        <w:rPr>
          <w:i/>
          <w:color w:val="666666"/>
          <w:sz w:val="18"/>
        </w:rPr>
        <w:t>Schneider V et al.  ·  J Med Internet Res  ·  06.10.2026  ·  PMID 42837652</w:t>
      </w:r>
    </w:p>
    <w:p>
      <w:r>
        <w:t>Rapid Evidence Review zur digitalen Fragmentierung und ihrer Auswirkungen auf Antibiotic Stewardship im englischen Gesundheitssystem.</w:t>
      </w:r>
    </w:p>
    <w:p>
      <w:r>
        <w:rPr>
          <w:b/>
        </w:rPr>
        <w:t xml:space="preserve">Ergebnis: </w:t>
      </w:r>
      <w:r>
        <w:t>14 Studien eingeschlossen; Fragmentierung betrifft große Patientenpopulationen und ist verknüpft mit klinischer Ineffizienz, Qualitäts- und Sicherheitsrisiken (fehlende Krankenakten, doppelte Untersuchungen, Verzögerungen); nur 4 Studien spezifisch zu Antibiotic Stewardship, alle zeigten Workflow-Behinderungen und Kommunikationsstörungen. Nur 1 Studie beschrieb ein digitales Tool zur Abhilfe.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Großbritannien - analog zu deutschen Fragmentierungsproblemen bei unzureichender Interoperabilität zwischen Sektoren</w:t>
      </w:r>
    </w:p>
    <w:p>
      <w:r>
        <w:rPr>
          <w:color w:val="5A7D3A"/>
          <w:sz w:val="18"/>
        </w:rPr>
        <w:t>https://pubmed.ncbi.nlm.nih.gov/42837652/</w:t>
      </w:r>
    </w:p>
    <w:p>
      <w:pPr>
        <w:pStyle w:val="Heading2"/>
      </w:pPr>
      <w:r>
        <w:t>Strukturiertes Risikomanagement in virtuellen Atemwegsversorgungsteams reduziert Versorgungsfehler</w:t>
      </w:r>
    </w:p>
    <w:p>
      <w:r>
        <w:rPr>
          <w:i/>
          <w:color w:val="666666"/>
          <w:sz w:val="18"/>
        </w:rPr>
        <w:t>Mariaki I et al.  ·  Br J Community Nurs  ·  02.10.2026  ·  PMID 42832408</w:t>
      </w:r>
    </w:p>
    <w:p>
      <w:r>
        <w:t>Entwicklung und Piloterprobung eines strukturierten Risk-Assessment-Rahmens für die Versorgung psychosozial komplexer Patienten in respiratorischen virtuellen Wards des NHS.</w:t>
      </w:r>
    </w:p>
    <w:p>
      <w:r>
        <w:rPr>
          <w:b/>
        </w:rPr>
        <w:t xml:space="preserve">Ergebnis: </w:t>
      </w:r>
      <w:r>
        <w:t>Nach Implementierung verbesserte sich die Konsistenz klinischer Entscheidungsfindung, multidisziplinäre Kommunikation und Dokumentation nachweislich; Mitarbeiterkompetenz stieg; Feasibility-Pilot mit sieben Patienten zeigte Machbarkeit in der Routinepraxis. Formale Evaluation ist geplant.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NHS-England-Setting mit vergleichbarer Dezentralisierung von Akutversorgung in Gemeindekontext</w:t>
      </w:r>
    </w:p>
    <w:p>
      <w:r>
        <w:rPr>
          <w:color w:val="5A7D3A"/>
          <w:sz w:val="18"/>
        </w:rPr>
        <w:t>https://pubmed.ncbi.nlm.nih.gov/42832408/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Patientensicherheit</dc:title>
  <dc:subject/>
  <dc:creator>Monitor Versorgungsforschung</dc:creator>
  <cp:keywords/>
  <dc:description>generated by python-docx</dc:description>
  <cp:lastModifiedBy/>
  <cp:revision>1</cp:revision>
  <dcterms:created xsi:type="dcterms:W3CDTF">2026-10-10T06:00:00Z</dcterms:created>
  <dcterms:modified xsi:type="dcterms:W3CDTF">2026-10-10T06:00:00Z</dcterms:modified>
  <cp:category/>
</cp:coreProperties>
</file>