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29.10.2026  |  6 Studien  |  safety.m-vf.de</w:t>
      </w:r>
    </w:p>
    <w:p>
      <w:pPr>
        <w:pStyle w:val="Heading1"/>
      </w:pPr>
      <w:r>
        <w:t>Aufgenommen am 29.10.2026</w:t>
      </w:r>
    </w:p>
    <w:p>
      <w:pPr>
        <w:pStyle w:val="Heading2"/>
      </w:pPr>
      <w:r>
        <w:t>Zeitnahe Fürsorge nach Geburtskomplikationen stärkt Vertrauen und Zufriedenheit</w:t>
      </w:r>
    </w:p>
    <w:p>
      <w:r>
        <w:rPr>
          <w:i/>
          <w:color w:val="666666"/>
          <w:sz w:val="18"/>
        </w:rPr>
        <w:t>Huang MC et al.  ·  Taiwan J Obstet Gynecol  ·  Nov. 2026  ·  PMID 42951471</w:t>
      </w:r>
    </w:p>
    <w:p>
      <w:r>
        <w:t>Taiwanische Querschnittsanalyse von 1.345 Familien und 1.074 Einrichtungen nach entschädigten Geburtskomplikationen unter dem nationalen Kaera-Entschädigungssystem (Entschädigung ohne Verschuldensnachweis); Evaluation von Umfang und Zeitpunkt psychosozialer Unterstützung und ihrer Assoziation mit Patientenzufriedenheit.</w:t>
      </w:r>
    </w:p>
    <w:p>
      <w:r>
        <w:rPr>
          <w:b/>
        </w:rPr>
        <w:t xml:space="preserve">Ergebnis: </w:t>
      </w:r>
      <w:r>
        <w:t>Deutliche Wahrnehmungslücken: nur 38,6 % der Familien erhielten Fürsorge innerhalb 2 Tage (vs. 82,4 % Angabe der Einrichtungen). Frühe Kontaktaufnahme (≤2 Tage) war stark assoziiert mit höherer Zufriedenheit mit dem Entschädigungsprozess, Verwaltung und Arzt-Patient-Verhältnis (alle p&lt;0,05). Prompt Caring Services bei Entschädigungssystemen ohne Haftungspflicht sind messbarer Prädiktor für Vertrauenswiederherstellung und geringere Konflikte.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 mit Entschädigungssystem ohne Verschuldensnachweis; Deutschland müsste vergleichbare Kulanzstrukturen aufbauen.</w:t>
      </w:r>
    </w:p>
    <w:p>
      <w:r>
        <w:rPr>
          <w:color w:val="5A7D3A"/>
          <w:sz w:val="18"/>
        </w:rPr>
        <w:t>https://pubmed.ncbi.nlm.nih.gov/42951471/</w:t>
      </w:r>
    </w:p>
    <w:p>
      <w:pPr>
        <w:pStyle w:val="Heading2"/>
      </w:pPr>
      <w:r>
        <w:t>Arzneimittelberatung durch Pharmakovigilanz-Zentrum verbessert klinische Entscheidungen</w:t>
      </w:r>
    </w:p>
    <w:p>
      <w:r>
        <w:rPr>
          <w:i/>
          <w:color w:val="666666"/>
          <w:sz w:val="18"/>
        </w:rPr>
        <w:t>Barus R et al.  ·  Eur J Clin Pharmacol  ·  28.10.2026  ·  PMID 42946887</w:t>
      </w:r>
    </w:p>
    <w:p>
      <w:r>
        <w:t>Retrospektive Analyse von 128 Arzneimittel-Anfragen an ein französisches Pharmakover­gillanz-Zentrum an einem Universitätsklinikum zur Bewertung des Einflusses auf klinische Entscheidungsfindung.</w:t>
      </w:r>
    </w:p>
    <w:p>
      <w:r>
        <w:rPr>
          <w:b/>
        </w:rPr>
        <w:t xml:space="preserve">Ergebnis: </w:t>
      </w:r>
      <w:r>
        <w:t>Klinische Behandlung stimmte in 87 % mit den Empfehlungen überein; bei 92 vor Entscheidung eingereichten Anfragen war der Einfluss in 62 % sicher und in 24 % wahrscheinlich. Zusätzlich wurden 50 Pharmakovigilanz-Meldungen generiert, davon ein mögliches Sicherheitssignal. Ein Dienst dieser Art unterstützt sowohl klinische Entscheidungen als auch Arzneimittelsicherheit.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ähnliche Sozialversicherungsstruktur wie Deutschland; Universitätsklinik mit systematischer Arzneimittelberatung.</w:t>
      </w:r>
    </w:p>
    <w:p>
      <w:r>
        <w:rPr>
          <w:color w:val="5A7D3A"/>
          <w:sz w:val="18"/>
        </w:rPr>
        <w:t>https://pubmed.ncbi.nlm.nih.gov/42946887/</w:t>
      </w:r>
    </w:p>
    <w:p>
      <w:pPr>
        <w:pStyle w:val="Heading2"/>
      </w:pPr>
      <w:r>
        <w:t>Nationale Qualitätspolitiken verbessern Gesundheitsergebnisse in der WHO-Region Europa</w:t>
      </w:r>
    </w:p>
    <w:p>
      <w:r>
        <w:rPr>
          <w:i/>
          <w:color w:val="666666"/>
          <w:sz w:val="18"/>
        </w:rPr>
        <w:t>Borgermans L et al.  ·  Front Public Health  ·  12.10.2026  ·  PMID 42935894</w:t>
      </w:r>
    </w:p>
    <w:p>
      <w:r>
        <w:t>Ländervergleichende Querschnittsanalyse zur Umsetzung von neun nationalen Qualitäts- und Patientensicherheitsmaßnahmen in der WHO-Europaregion und deren Assoziationen mit Gesundheitsergebnissen.</w:t>
      </w:r>
    </w:p>
    <w:p>
      <w:r>
        <w:rPr>
          <w:b/>
        </w:rPr>
        <w:t xml:space="preserve">Ergebnis: </w:t>
      </w:r>
      <w:r>
        <w:t>Nur etwa ein Drittel der Länder hatten nationale Qualitäts- und Sicherheitspläne umgesetzt. Nationale Qualitätspläne waren assoziiert mit 1,68 zusätzlichen Lebensjahren in Gesundheit (p=0,033 unadjustiert), niedrigerem Risiko vorzeitiger Todesfälle durch kardiovaskuläre und metabolische Erkrankungen (−3,33 Prozentpunkte; p=0,049 unadjustiert) und 4,06 weniger Todesfällen unter 5 Jahren pro 1.000 Geburten. Jede zusätzliche Politik assoziiert mit 0,29 zusätzlichen Gesundheitsjahren und 0,72 weniger U5-Todesfällen pro 1.000 Geburten.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WHO-Europa mit 23 Ländern; systematische Politikanalyse zeigt Versorgungsergebnis-Zusammenhang.</w:t>
      </w:r>
    </w:p>
    <w:p>
      <w:r>
        <w:rPr>
          <w:color w:val="5A7D3A"/>
          <w:sz w:val="18"/>
        </w:rPr>
        <w:t>https://pubmed.ncbi.nlm.nih.gov/42935894/</w:t>
      </w:r>
    </w:p>
    <w:p>
      <w:pPr>
        <w:pStyle w:val="Heading2"/>
      </w:pPr>
      <w:r>
        <w:t>Kommunikation als Fundament aller Patientensicherheitsstrategien</w:t>
      </w:r>
    </w:p>
    <w:p>
      <w:r>
        <w:rPr>
          <w:i/>
          <w:color w:val="666666"/>
          <w:sz w:val="18"/>
        </w:rPr>
        <w:t>Tingle J  ·  Br J Nurs  ·  22.10.2026  ·  PMID 42912428</w:t>
      </w:r>
    </w:p>
    <w:p>
      <w:r>
        <w:t>Fachkommentar des Rechtswissenschaftlers John Tingle zur Rolle guter Kommunikation bei der Prävention vermeidbarer Schäden im NHS und zur Notwendigkeit von Transparenz nach unerwünschten Ereignissen.</w:t>
      </w:r>
    </w:p>
    <w:p>
      <w:r>
        <w:rPr>
          <w:b/>
        </w:rPr>
        <w:t xml:space="preserve">Ergebnis: </w:t>
      </w:r>
      <w:r>
        <w:t>Der Autor nennt systematische Kommunikation als übergeordnetes Prinzip für Patientensicherheit: strukturierte, zeitnahe Aufklärung nach Ereignissen, Debriefing und offene Fehlerkultur reduzieren Vertrauensverlust und Anwaltskosten und verhindern wiederholte Fehler. Bessere Kommunikation ist messbarer, kostensparender Schutzfaktor gegen vermeidbare Schäden als Einrichtungskultur.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 mit Duty of Candour-Pflicht; Deutschland verpflichtet zu Aufklärung nach § 630h BGB.</w:t>
      </w:r>
    </w:p>
    <w:p>
      <w:r>
        <w:rPr>
          <w:color w:val="5A7D3A"/>
          <w:sz w:val="18"/>
        </w:rPr>
        <w:t>https://pubmed.ncbi.nlm.nih.gov/42912428/</w:t>
      </w:r>
    </w:p>
    <w:p>
      <w:pPr>
        <w:pStyle w:val="Heading2"/>
      </w:pPr>
      <w:r>
        <w:t>Automatisierte EHR-Algorithmen erfassen Sepsis doppelt so häufig wie ICD-10-Kodes</w:t>
      </w:r>
    </w:p>
    <w:p>
      <w:r>
        <w:rPr>
          <w:i/>
          <w:color w:val="666666"/>
          <w:sz w:val="18"/>
        </w:rPr>
        <w:t>Naucler P et al.  ·  Infect Dis (Lond)  ·  23.09.2026  ·  PMID 42775946</w:t>
      </w:r>
    </w:p>
    <w:p>
      <w:r>
        <w:t>Schwedische Beobachtungsstudie an zwei Universitätskliniken (Karolinska, Västerbotten 2016–2024) zum Vergleich von Sepsis-Diagnose durch vollautomatisiertes EHR-basiertes Sepsis-3-Algorithmus (SOFA-Kriterien) versus diagnostische ICD-10-Kodierung.</w:t>
      </w:r>
    </w:p>
    <w:p>
      <w:r>
        <w:rPr>
          <w:b/>
        </w:rPr>
        <w:t xml:space="preserve">Ergebnis: </w:t>
      </w:r>
      <w:r>
        <w:t>Der Sepsis-3-Algorithmus identifizierte Sepsis bei 11,4 % der Aufnahmen (Karolinska) bzw. 6,2 % (Västerbotten), während explizite ICD-10-Codes nur 2,5 % bzw. 1,2 % erfassten. Konkordanz gering (Kappa 0,21 und 0,14). Nach Einführung eines automatisierten SOFA-Kalkulators stieg die Nutzung spezifischer Sepsis-Codes, blieb aber weit unter algorithmus-basierter Klassifizierung. Automatisierte EHR-Verfahren erlauben datengestützte Sepsis-Surveillance und unterstützen zuverlässigere Kodierungen.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mit deutschem Dokumentationssystem vergleichbar; zeigt Meldelücke durch Kodierungsfehler.</w:t>
      </w:r>
    </w:p>
    <w:p>
      <w:r>
        <w:rPr>
          <w:color w:val="5A7D3A"/>
          <w:sz w:val="18"/>
        </w:rPr>
        <w:t>https://pubmed.ncbi.nlm.nih.gov/42775946/</w:t>
      </w:r>
    </w:p>
    <w:p>
      <w:pPr>
        <w:pStyle w:val="Heading2"/>
      </w:pPr>
      <w:r>
        <w:t>Falsche Arzneimittelallergien erhöhen Komplikationen nach Operation um 21 %</w:t>
      </w:r>
    </w:p>
    <w:p>
      <w:r>
        <w:rPr>
          <w:i/>
          <w:color w:val="666666"/>
          <w:sz w:val="18"/>
        </w:rPr>
        <w:t>Savic LC et al.  ·  Br J Anaesth  ·  11.09.2026  ·  PMID 42722596</w:t>
      </w:r>
    </w:p>
    <w:p>
      <w:r>
        <w:t>Multizentrische UK-Beobachtungsstudie mit 13.646 Patienten, die sich elektiven Eingriffen (Hüft-/Knieersatz, Frakturfixierung, Kolonresektion u.a.) unterzogen; 29 % trugen mindestens eine dokumentierte Arzneimittelallergie.</w:t>
      </w:r>
    </w:p>
    <w:p>
      <w:r>
        <w:rPr>
          <w:b/>
        </w:rPr>
        <w:t xml:space="preserve">Ergebnis: </w:t>
      </w:r>
      <w:r>
        <w:t>Patienten mit Allergieetiketten erlitten postoperativ mehr Komplikationen (25 % vs. 20 %; OR 1,21 [1,10–1,34], p&lt;0,001), mehr chirurgische Infektionen (9 % vs. 8 %; OR 1,19 [1,03–1,38]) und mehr Infektionen insgesamt (19 % vs. 15 %; OR 1,24 [1,11–1,38]). Das Risiko echter allergischer Reaktionen war erhöht (OR 3,00 [1,77–5,09]), die Sterblichkeit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UK-NHS-Daten, ähnliche stationäre Strukturen; zeigt Schaden durch Vermeidung von First-Line-Antibiotika.</w:t>
      </w:r>
    </w:p>
    <w:p>
      <w:r>
        <w:rPr>
          <w:color w:val="5A7D3A"/>
          <w:sz w:val="18"/>
        </w:rPr>
        <w:t>https://pubmed.ncbi.nlm.nih.gov/42722596/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2026-10-29T06:00:00Z</dcterms:created>
  <dcterms:modified xsi:type="dcterms:W3CDTF">2026-10-29T06:00:00Z</dcterms:modified>
  <cp:category/>
</cp:coreProperties>
</file>