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31.10.2026  |  6 Studien  |  safety.m-vf.de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Ein Viertel der ICU-Patienten erleben ernsthafte unerwünschte Ereignisse – europäischer Kohorten-Substudy</w:t>
      </w:r>
    </w:p>
    <w:p>
      <w:r>
        <w:rPr>
          <w:i/>
          <w:color w:val="666666"/>
          <w:sz w:val="18"/>
        </w:rPr>
        <w:t>Crone V et al.  ·  Acta Anaesthesiol Scand  ·  Jan. 2027  ·  PMID 42963077</w:t>
      </w:r>
    </w:p>
    <w:p>
      <w:r>
        <w:t>Substudie der multizentrischen europäischen PATIENCE-Kohortenstudie (1.440 Intensivpatienten), die Häufigkeit vordefinierter schwerwiegender Nebenwirkungen (kardiale Arrhythmien, Herzstillstand, Aspirationserbrechen, Durchfall, extrapyramidale Symptome) dokumentierte, mit und ohne Prokinetika-Therapie.</w:t>
      </w:r>
    </w:p>
    <w:p>
      <w:r>
        <w:rPr>
          <w:b/>
        </w:rPr>
        <w:t xml:space="preserve">Ergebnis: </w:t>
      </w:r>
      <w:r>
        <w:t>Von 1.440 Patienten erlebten 354 (24,6%) mindestens ein schwerwiegendes Ereignis; insgesamt 710 Ereignisse. Kardiale Arrhythmien am häufigsten (199/1.440, 13,8%). Unter Patienten mit Prokinetika &gt;3 aufeinanderfolgende Tage zeigten 14/59 (23,7%) ein Ereignis; unter Nicht-Patienten 291/1.253 (23,2%) – keine signifikanten Unterschiede. Mediane Zeit bis zum Ereignis: Tag 2 nach ICU-Aufnahme, Tag 3 nach Prokinetika-Start.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(Dänemark, Finnland, Schweiz, Spanien, Niederlande, Polen, Großbritannien): Intensivmedizin; direkt vergleichbar, deutsche ICU-Sicherheitsforschung relevant.</w:t>
      </w:r>
    </w:p>
    <w:p>
      <w:r>
        <w:rPr>
          <w:color w:val="5A7D3A"/>
          <w:sz w:val="18"/>
        </w:rPr>
        <w:t>https://pubmed.ncbi.nlm.nih.gov/42963077/</w:t>
      </w:r>
    </w:p>
    <w:p>
      <w:pPr>
        <w:pStyle w:val="Heading2"/>
      </w:pPr>
      <w:r>
        <w:t>Risikofaktoren für Stressulzera bei Sepsis: Gerinnungsstörung und Schock sind Leitsignale</w:t>
      </w:r>
    </w:p>
    <w:p>
      <w:r>
        <w:rPr>
          <w:i/>
          <w:color w:val="666666"/>
          <w:sz w:val="18"/>
        </w:rPr>
        <w:t>Wang J et al.  ·  PLoS One  ·  30.10.2026  ·  PMID 42961991</w:t>
      </w:r>
    </w:p>
    <w:p>
      <w:r>
        <w:t>Systematische Review von sechs Beobachtungsstudien (131.568 Patienten mit Sepsis), die unabhängige Risikofaktoren für Stressulzera oder Magen-Darm-Blutung identifizierte.</w:t>
      </w:r>
    </w:p>
    <w:p>
      <w:r>
        <w:rPr>
          <w:b/>
        </w:rPr>
        <w:t xml:space="preserve">Ergebnis: </w:t>
      </w:r>
      <w:r>
        <w:t>Inzidenz von Stressulzera/GI-Blutung variierte zwischen 2,0% und 32,3%. Patientenabhängige Faktoren: höheres Alter, GI-Blutungs-Anamnese, Zirrhose; erkrankungsabhängig: Gerinnungsstörung (unabhängig assoziiert), Schock, Niereninsuffizienz, hohe BUN, Beatmung; therapieabhängig: Antikoagulanzien, Kortikosteroide, ICU-Aufenthaltsdauer. Die Autoren plädieren für individualisierte Stressulzus-Prophylaxe statt One-Size-Fits-All.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multizentrische Sekundäranalyse; Risikoprofil-Definition für deutsche Sepsis-Management relevant.</w:t>
      </w:r>
    </w:p>
    <w:p>
      <w:r>
        <w:rPr>
          <w:color w:val="5A7D3A"/>
          <w:sz w:val="18"/>
        </w:rPr>
        <w:t>https://pubmed.ncbi.nlm.nih.gov/42961991/</w:t>
      </w:r>
    </w:p>
    <w:p>
      <w:pPr>
        <w:pStyle w:val="Heading2"/>
      </w:pPr>
      <w:r>
        <w:t>OP-Checkliste für Roboterchirurgie verbessert Sicherheit auf 89% Compliance</w:t>
      </w:r>
    </w:p>
    <w:p>
      <w:r>
        <w:rPr>
          <w:i/>
          <w:color w:val="666666"/>
          <w:sz w:val="18"/>
        </w:rPr>
        <w:t>Benjamim GPC et al.  ·  Rev Gaucha Enferm  ·  23.10.2026  ·  PMID 42961211</w:t>
      </w:r>
    </w:p>
    <w:p>
      <w:r>
        <w:t>Quasi-experimentelle Vorher-Nachher-Studie einer spezifischen OP-Checkliste für Roboterchirurgie an einem brasilianischen Universitätskrankenhaus, basierend auf JBI-Best-Practice-Rahmen.</w:t>
      </w:r>
    </w:p>
    <w:p>
      <w:r>
        <w:rPr>
          <w:b/>
        </w:rPr>
        <w:t xml:space="preserve">Ergebnis: </w:t>
      </w:r>
      <w:r>
        <w:t>Bei der Baseline-Audit zeigten 17 von 18 Kriterien (94,4%) Noncompliance; nach Implementierung der Checkliste mit Training erreichten 16 von 18 Kriterien (88,9%) ≥80% Compliance in der Nachfolge-Audit. Zwei ärztlich abhängige Kriterien benötigten weitere Strategien, erreichten aber 70,6–83,3% Compliance.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universitäres System; Checklisten-Effektivität auf deutsch vergleichbar, Roboter-OP-Standards relevant.</w:t>
      </w:r>
    </w:p>
    <w:p>
      <w:r>
        <w:rPr>
          <w:color w:val="5A7D3A"/>
          <w:sz w:val="18"/>
        </w:rPr>
        <w:t>https://pubmed.ncbi.nlm.nih.gov/42961211/</w:t>
      </w:r>
    </w:p>
    <w:p>
      <w:pPr>
        <w:pStyle w:val="Heading2"/>
      </w:pPr>
      <w:r>
        <w:t>Candidozyma auris – höhere Mortalität trotz ähnlicher Rohzahlen – Türkiye-Kohortenstudie</w:t>
      </w:r>
    </w:p>
    <w:p>
      <w:r>
        <w:rPr>
          <w:i/>
          <w:color w:val="666666"/>
          <w:sz w:val="18"/>
        </w:rPr>
        <w:t>Kuzi S et al.  ·  BMC Infect Dis  ·  12.09.2026  ·  PMID 42958490</w:t>
      </w:r>
    </w:p>
    <w:p>
      <w:r>
        <w:t>Retrospektive Einzelzentrum-Kohortenstudie (301 Patienten mit Candidämie: 77 C. auris, 224 non-auris Candida) in der Türkei, die klinische Charakteristika, Antifungal-Empfindlichkeit und Outcomes verglich.</w:t>
      </w:r>
    </w:p>
    <w:p>
      <w:r>
        <w:rPr>
          <w:b/>
        </w:rPr>
        <w:t xml:space="preserve">Ergebnis: </w:t>
      </w:r>
      <w:r>
        <w:t>Rohe 30-Tage-Mortalität ähnlich (62,3% vs. 62,5%); nach Adjustment war C. auris mit höheren Odds assoziiert (aOR 1,967, 95%-KI 0,954–4,055; p=0,067, aber KI umfasst Null). Standardisierte adjustierte Mortalität: 69,7% für C. auris versus 59,3% für non-auris (Risk Difference +10,4%, 95%-KI −0,2 bis +21,3). Älteres Alter, höherer SOFA-Score, septischer Schock, Kortikosteroid-Use, Hämodialyse waren unabhängig mit höherer Mortalität assoziiert. Ein Drittel der C. auris-Isolate zeigte erhöhte Amphotericin-B-MIKs.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Türkiye, Einzelzentrum; C. auris als Healthcare-assoziierten Risiko relevant für deutsche Fungämie-Management.</w:t>
      </w:r>
    </w:p>
    <w:p>
      <w:r>
        <w:rPr>
          <w:color w:val="5A7D3A"/>
          <w:sz w:val="18"/>
        </w:rPr>
        <w:t>https://pubmed.ncbi.nlm.nih.gov/42958490/</w:t>
      </w:r>
    </w:p>
    <w:p>
      <w:pPr>
        <w:pStyle w:val="Heading2"/>
      </w:pPr>
      <w:r>
        <w:t>Chlorhexidin in Mundpflegemaßnahmen reduziert VAP nicht – pragmatische Crossover-Studie</w:t>
      </w:r>
    </w:p>
    <w:p>
      <w:r>
        <w:rPr>
          <w:i/>
          <w:color w:val="666666"/>
          <w:sz w:val="18"/>
        </w:rPr>
        <w:t>Anushapreethi S et al.  ·  Crit Care  ·  29.10.2026  ·  PMID 42958418</w:t>
      </w:r>
    </w:p>
    <w:p>
      <w:r>
        <w:t>Pragmatische Cluster-randomisierte Crossover-Studie in sechs indischen Intensivstationen, die prüfte, ob Zugabe von 0,12% Chlorhexidin zu einem standardisierten Mundpflegebündel die Ventilator-assoziierte Pneumonie (VAP) senkt.</w:t>
      </w:r>
    </w:p>
    <w:p>
      <w:r>
        <w:rPr>
          <w:b/>
        </w:rPr>
        <w:t xml:space="preserve">Ergebnis: </w:t>
      </w:r>
      <w:r>
        <w:t>Von 1.035 Patienten (5.918 versus 4.106 Beatmungstage ohne/mit Chlorhexidin) entwickelten 16,9 pro 1.000 Beatmungstage ohne Chlorhexidin gegenüber 18,8 pro 1.000 mit Chlorhexidin VAP (adjustierte Inzidenzrate-Ratio 1,08, 95%-KI 0,84–1,38; p=0,56). 28-Tage-Mortalität betrug 28,7% versus 26,4% (adjustierte OR 0,87, 95%-KI 0,65–1,15; p=0,33). Chlorhexidin brachte keinen zusätzlichen Nutzen, war aber mit längerer Aufenthaltszeit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gemischte medizinische ICU; Ergebnis widerlegt etablierte Praxis, relevant für deutsche Bundelempfehlungen.</w:t>
      </w:r>
    </w:p>
    <w:p>
      <w:r>
        <w:rPr>
          <w:color w:val="5A7D3A"/>
          <w:sz w:val="18"/>
        </w:rPr>
        <w:t>https://pubmed.ncbi.nlm.nih.gov/42958418/</w:t>
      </w:r>
    </w:p>
    <w:p>
      <w:pPr>
        <w:pStyle w:val="Heading2"/>
      </w:pPr>
      <w:r>
        <w:t>Nierenmarker PENK identifiziert Sepsis-Patienten, bei denen Hydrocortison schadet</w:t>
      </w:r>
    </w:p>
    <w:p>
      <w:r>
        <w:rPr>
          <w:i/>
          <w:color w:val="666666"/>
          <w:sz w:val="18"/>
        </w:rPr>
        <w:t>Antcliffe DB et al.  ·  Crit Care Explor  ·  01.10.2026  ·  PMID 42902572</w:t>
      </w:r>
    </w:p>
    <w:p>
      <w:r>
        <w:t>Post-hoc-Analyse der randomisierten VANISH-Studie (173 ICU-Patienten mit septischem Schock im Vereinigten Königreich), die untersucht, ob Proenkephalin A (PENK) als Biomarker für Nierenfunction die Wirksamkeit von Hydrocortison vorhersagt.</w:t>
      </w:r>
    </w:p>
    <w:p>
      <w:r>
        <w:rPr>
          <w:b/>
        </w:rPr>
        <w:t xml:space="preserve">Ergebnis: </w:t>
      </w:r>
      <w:r>
        <w:t>PENK ≥89 pmol/L war mit 28-Tage-Mortalität assoziiert (OR 3,24, 95%-KI 1,62–6,74). Unter 111 Patienten, die maximale Vasopressor-Schwelle erreichten, zeigte sich signifikante Interaktion zwischen PENK-Gruppe und Hydrocortison für nierenversagensfreie Tage: Hohes PENK mit Placebo 26 [13–28] vs. Hydrocortison 11 [0–26]; niedriges PENK: Placebo 28 [15–28] vs. Hydrocortison 28 [28–28] (p=0,01). Höchstes PENK-Hydrocortison-Gruppe hatte höchste Mortalität (50%), höchstes PENK-Placebo 32%, niedriges PENK-Hydrocortison 14%, Placebo 24%.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ICU; Biomarker-stratifizierte Sepsis-Therapie für deutsche Intensivmedizin.</w:t>
      </w:r>
    </w:p>
    <w:p>
      <w:r>
        <w:rPr>
          <w:color w:val="5A7D3A"/>
          <w:sz w:val="18"/>
        </w:rPr>
        <w:t>https://pubmed.ncbi.nlm.nih.gov/42902572/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